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4D82A383" w14:textId="77777777" w:rsidTr="006E2C02">
        <w:trPr>
          <w:trHeight w:val="852"/>
          <w:jc w:val="center"/>
        </w:trPr>
        <w:tc>
          <w:tcPr>
            <w:tcW w:w="6940" w:type="dxa"/>
            <w:vMerge w:val="restart"/>
            <w:tcBorders>
              <w:right w:val="single" w:sz="4" w:space="0" w:color="auto"/>
            </w:tcBorders>
          </w:tcPr>
          <w:p w14:paraId="0E4AAD7D"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pt-BR" w:eastAsia="pt-BR"/>
              </w:rPr>
              <w:drawing>
                <wp:inline distT="0" distB="0" distL="0" distR="0" wp14:anchorId="72D05198" wp14:editId="3CD73A1E">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61EE3F31" w14:textId="77777777"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proofErr w:type="gramStart"/>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0BFB3024"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3E7299CA" w14:textId="77777777" w:rsidR="000A03B2" w:rsidRPr="00B57B36" w:rsidRDefault="000A03B2" w:rsidP="00CD5FE2">
            <w:pPr>
              <w:jc w:val="right"/>
            </w:pPr>
            <w:r w:rsidRPr="00B57B36">
              <w:rPr>
                <w:noProof/>
                <w:lang w:val="pt-BR" w:eastAsia="pt-BR"/>
              </w:rPr>
              <w:drawing>
                <wp:inline distT="0" distB="0" distL="0" distR="0" wp14:anchorId="27DD5B27" wp14:editId="71FEC13B">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026061A4" w14:textId="77777777" w:rsidTr="006E2C02">
        <w:trPr>
          <w:trHeight w:val="567"/>
          <w:jc w:val="center"/>
        </w:trPr>
        <w:tc>
          <w:tcPr>
            <w:tcW w:w="6940" w:type="dxa"/>
            <w:vMerge/>
            <w:tcBorders>
              <w:right w:val="single" w:sz="4" w:space="0" w:color="auto"/>
            </w:tcBorders>
          </w:tcPr>
          <w:p w14:paraId="27C7BD38"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34B2E503"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4E086B7F"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3410C4F3" w14:textId="77777777"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4B331E5C" w14:textId="77777777" w:rsidTr="006E2C02">
        <w:trPr>
          <w:trHeight w:val="68"/>
          <w:jc w:val="center"/>
        </w:trPr>
        <w:tc>
          <w:tcPr>
            <w:tcW w:w="8782" w:type="dxa"/>
            <w:gridSpan w:val="2"/>
          </w:tcPr>
          <w:p w14:paraId="468E8F5E" w14:textId="77777777" w:rsidR="00AA7D26" w:rsidRPr="00244D94" w:rsidRDefault="00AA7D26" w:rsidP="00AA7D26">
            <w:pPr>
              <w:ind w:left="-107"/>
              <w:outlineLvl w:val="2"/>
              <w:rPr>
                <w:rFonts w:ascii="Tahoma" w:hAnsi="Tahoma" w:cs="Tahoma"/>
                <w:bCs/>
                <w:color w:val="000000"/>
                <w:sz w:val="14"/>
                <w:szCs w:val="14"/>
                <w:lang w:val="it-IT" w:eastAsia="it-IT"/>
              </w:rPr>
            </w:pPr>
            <w:r w:rsidRPr="00244D94">
              <w:rPr>
                <w:rFonts w:ascii="Tahoma" w:hAnsi="Tahoma" w:cs="Tahoma"/>
                <w:iCs/>
                <w:color w:val="333333"/>
                <w:sz w:val="14"/>
                <w:szCs w:val="14"/>
                <w:lang w:val="it-IT" w:eastAsia="it-IT"/>
              </w:rPr>
              <w:t>Guest Editors:</w:t>
            </w:r>
            <w:r w:rsidRPr="00244D94">
              <w:rPr>
                <w:rFonts w:ascii="Tahoma" w:hAnsi="Tahoma" w:cs="Tahoma"/>
                <w:color w:val="000000"/>
                <w:sz w:val="14"/>
                <w:szCs w:val="14"/>
                <w:shd w:val="clear" w:color="auto" w:fill="FFFFFF"/>
                <w:lang w:val="it-IT"/>
              </w:rPr>
              <w:t xml:space="preserve"> </w:t>
            </w:r>
            <w:r w:rsidR="006A23E9" w:rsidRPr="00244D94">
              <w:rPr>
                <w:rFonts w:ascii="Tahoma" w:hAnsi="Tahoma" w:cs="Tahoma"/>
                <w:color w:val="000000"/>
                <w:sz w:val="14"/>
                <w:szCs w:val="14"/>
                <w:shd w:val="clear" w:color="auto" w:fill="FFFFFF"/>
                <w:lang w:val="it-IT"/>
              </w:rPr>
              <w:t xml:space="preserve">Leonardo Tognotti, </w:t>
            </w:r>
            <w:r w:rsidR="006A23E9" w:rsidRPr="00244D94">
              <w:rPr>
                <w:rFonts w:ascii="Tahoma" w:hAnsi="Tahoma" w:cs="Tahoma"/>
                <w:color w:val="000000"/>
                <w:sz w:val="14"/>
                <w:szCs w:val="14"/>
                <w:lang w:val="it-IT"/>
              </w:rPr>
              <w:t>Rubens Maciel Filho</w:t>
            </w:r>
            <w:r w:rsidR="006A23E9" w:rsidRPr="00244D94">
              <w:rPr>
                <w:rFonts w:ascii="Tahoma" w:hAnsi="Tahoma" w:cs="Tahoma"/>
                <w:color w:val="000000"/>
                <w:sz w:val="14"/>
                <w:szCs w:val="14"/>
                <w:shd w:val="clear" w:color="auto" w:fill="FFFFFF"/>
                <w:lang w:val="it-IT"/>
              </w:rPr>
              <w:t xml:space="preserve">, </w:t>
            </w:r>
            <w:r w:rsidR="006A23E9" w:rsidRPr="00244D94">
              <w:rPr>
                <w:rFonts w:ascii="Tahoma" w:hAnsi="Tahoma" w:cs="Tahoma"/>
                <w:color w:val="000000"/>
                <w:sz w:val="14"/>
                <w:szCs w:val="14"/>
                <w:lang w:val="it-IT"/>
              </w:rPr>
              <w:t>Viatcheslav Kafarov</w:t>
            </w:r>
          </w:p>
          <w:p w14:paraId="661EEB3B" w14:textId="77777777"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902EDA">
              <w:rPr>
                <w:rFonts w:ascii="Tahoma" w:hAnsi="Tahoma" w:cs="Tahoma"/>
                <w:sz w:val="14"/>
                <w:szCs w:val="14"/>
              </w:rPr>
              <w:t>10</w:t>
            </w:r>
            <w:r>
              <w:rPr>
                <w:rFonts w:ascii="Tahoma" w:hAnsi="Tahoma" w:cs="Tahoma"/>
                <w:sz w:val="14"/>
                <w:szCs w:val="14"/>
              </w:rPr>
              <w:t>-</w:t>
            </w:r>
            <w:r w:rsidR="00902EDA">
              <w:rPr>
                <w:rFonts w:ascii="Tahoma" w:hAnsi="Tahoma" w:cs="Tahoma"/>
                <w:sz w:val="14"/>
                <w:szCs w:val="14"/>
              </w:rPr>
              <w:t>1</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032086CB" w14:textId="77777777" w:rsidR="00E978D0" w:rsidRPr="00B57B36" w:rsidRDefault="00DA5B54" w:rsidP="00E978D0">
      <w:pPr>
        <w:pStyle w:val="CETTitle"/>
      </w:pPr>
      <w:r>
        <w:t>Black Liquor Gasification in Supercritical Water: Thermodynamic Study for Isothermal S</w:t>
      </w:r>
      <w:r w:rsidR="006E2C02">
        <w:t>ystems</w:t>
      </w:r>
    </w:p>
    <w:p w14:paraId="11DFC548" w14:textId="77777777" w:rsidR="00B57E6F" w:rsidRPr="006E2C02" w:rsidRDefault="006E2C02" w:rsidP="00B57E6F">
      <w:pPr>
        <w:pStyle w:val="CETAuthors"/>
        <w:rPr>
          <w:lang w:val="pt-BR"/>
        </w:rPr>
      </w:pPr>
      <w:r w:rsidRPr="007A729D">
        <w:rPr>
          <w:lang w:val="pt-BR"/>
        </w:rPr>
        <w:t>Julles Mitoura dos Santos Junior</w:t>
      </w:r>
      <w:r>
        <w:rPr>
          <w:vertAlign w:val="superscript"/>
          <w:lang w:val="pt-BR"/>
        </w:rPr>
        <w:t>a</w:t>
      </w:r>
      <w:r w:rsidR="00DA5B54">
        <w:rPr>
          <w:lang w:val="pt-BR"/>
        </w:rPr>
        <w:t>, Annamaria Dória Vidotti</w:t>
      </w:r>
      <w:r>
        <w:rPr>
          <w:vertAlign w:val="superscript"/>
          <w:lang w:val="pt-BR"/>
        </w:rPr>
        <w:t>b</w:t>
      </w:r>
      <w:r>
        <w:rPr>
          <w:lang w:val="pt-BR"/>
        </w:rPr>
        <w:t>, A</w:t>
      </w:r>
      <w:r w:rsidR="00DA5B54">
        <w:rPr>
          <w:lang w:val="pt-BR"/>
        </w:rPr>
        <w:t>ntônio Carlos Daltro de Freitas</w:t>
      </w:r>
      <w:r>
        <w:rPr>
          <w:vertAlign w:val="superscript"/>
          <w:lang w:val="pt-BR"/>
        </w:rPr>
        <w:t>b</w:t>
      </w:r>
      <w:r>
        <w:rPr>
          <w:lang w:val="pt-BR"/>
        </w:rPr>
        <w:t>, Reginaldo Guirardello</w:t>
      </w:r>
      <w:r>
        <w:rPr>
          <w:vertAlign w:val="superscript"/>
          <w:lang w:val="pt-BR"/>
        </w:rPr>
        <w:t>a*</w:t>
      </w:r>
    </w:p>
    <w:p w14:paraId="50A02317" w14:textId="77777777" w:rsidR="006E2C02" w:rsidRPr="00B57B36" w:rsidRDefault="006E2C02" w:rsidP="006E2C02">
      <w:pPr>
        <w:pStyle w:val="CETAddress"/>
      </w:pPr>
      <w:r w:rsidRPr="00B57B36">
        <w:rPr>
          <w:vertAlign w:val="superscript"/>
        </w:rPr>
        <w:t>a</w:t>
      </w:r>
      <w:r w:rsidRPr="007A729D">
        <w:rPr>
          <w:rFonts w:eastAsiaTheme="minorHAnsi" w:cs="Arial"/>
          <w:szCs w:val="16"/>
          <w:lang w:val="en-US"/>
        </w:rPr>
        <w:t>School of Chemical Engineering, University of Campinas, Av. Albert Einstein 500, Campinas</w:t>
      </w:r>
      <w:r w:rsidR="00701B1C">
        <w:rPr>
          <w:rFonts w:eastAsiaTheme="minorHAnsi" w:cs="Arial"/>
          <w:szCs w:val="16"/>
          <w:lang w:val="en-US"/>
        </w:rPr>
        <w:t>-SP, 13083-852</w:t>
      </w:r>
      <w:r w:rsidRPr="007A729D">
        <w:rPr>
          <w:rFonts w:eastAsiaTheme="minorHAnsi" w:cs="Arial"/>
          <w:szCs w:val="16"/>
          <w:lang w:val="en-US"/>
        </w:rPr>
        <w:t>, Brazil</w:t>
      </w:r>
    </w:p>
    <w:p w14:paraId="2A6F0239" w14:textId="77777777" w:rsidR="006E2C02" w:rsidRPr="00B57B36" w:rsidRDefault="006E2C02" w:rsidP="006E2C02">
      <w:pPr>
        <w:pStyle w:val="CETAddress"/>
        <w:jc w:val="both"/>
      </w:pPr>
      <w:r w:rsidRPr="00B57B36">
        <w:rPr>
          <w:vertAlign w:val="superscript"/>
        </w:rPr>
        <w:t>b</w:t>
      </w:r>
      <w:r>
        <w:rPr>
          <w:vertAlign w:val="superscript"/>
        </w:rPr>
        <w:t xml:space="preserve"> </w:t>
      </w:r>
      <w:r>
        <w:t xml:space="preserve">Chemical </w:t>
      </w:r>
      <w:r w:rsidRPr="007A729D">
        <w:rPr>
          <w:rFonts w:eastAsiaTheme="minorHAnsi" w:cs="Arial"/>
          <w:szCs w:val="16"/>
          <w:lang w:val="en-US"/>
        </w:rPr>
        <w:t>Engineering Department, Exact Sciences and Technology Center, Feder</w:t>
      </w:r>
      <w:r w:rsidR="000C4B29">
        <w:rPr>
          <w:rFonts w:eastAsiaTheme="minorHAnsi" w:cs="Arial"/>
          <w:szCs w:val="16"/>
          <w:lang w:val="en-US"/>
        </w:rPr>
        <w:t>al University of Maranhão - UFMA</w:t>
      </w:r>
      <w:r w:rsidRPr="007A729D">
        <w:rPr>
          <w:rFonts w:eastAsiaTheme="minorHAnsi" w:cs="Arial"/>
          <w:szCs w:val="16"/>
          <w:lang w:val="en-US"/>
        </w:rPr>
        <w:t>, Av. dos Portugueses, 1966, Bacanga, São Luís</w:t>
      </w:r>
      <w:r w:rsidR="00701B1C">
        <w:rPr>
          <w:rFonts w:eastAsiaTheme="minorHAnsi" w:cs="Arial"/>
          <w:szCs w:val="16"/>
          <w:lang w:val="en-US"/>
        </w:rPr>
        <w:t>-MA, 65080-805</w:t>
      </w:r>
      <w:r w:rsidRPr="007A729D">
        <w:rPr>
          <w:rFonts w:eastAsiaTheme="minorHAnsi" w:cs="Arial"/>
          <w:szCs w:val="16"/>
          <w:lang w:val="en-US"/>
        </w:rPr>
        <w:t>, Brazil</w:t>
      </w:r>
    </w:p>
    <w:p w14:paraId="7FB50883" w14:textId="77777777" w:rsidR="00B57E6F" w:rsidRPr="00B57B36" w:rsidRDefault="00B57E6F" w:rsidP="00B57E6F">
      <w:pPr>
        <w:pStyle w:val="CETemail"/>
      </w:pPr>
      <w:r>
        <w:t xml:space="preserve"> </w:t>
      </w:r>
      <w:r w:rsidR="006E2C02">
        <w:t>guira@feq.unicamp.br</w:t>
      </w:r>
    </w:p>
    <w:p w14:paraId="5F14988D" w14:textId="77777777" w:rsidR="00766C61" w:rsidRPr="00766C61" w:rsidRDefault="00766C61" w:rsidP="00766C61">
      <w:pPr>
        <w:pStyle w:val="Paragrafoelenco"/>
        <w:tabs>
          <w:tab w:val="clear" w:pos="7100"/>
        </w:tabs>
        <w:autoSpaceDE w:val="0"/>
        <w:autoSpaceDN w:val="0"/>
        <w:adjustRightInd w:val="0"/>
        <w:spacing w:line="240" w:lineRule="auto"/>
        <w:ind w:left="0"/>
        <w:rPr>
          <w:rFonts w:eastAsiaTheme="minorHAnsi" w:cs="Arial"/>
          <w:szCs w:val="18"/>
          <w:lang w:val="en-US"/>
        </w:rPr>
      </w:pPr>
      <w:r w:rsidRPr="00766C61">
        <w:rPr>
          <w:rFonts w:eastAsiaTheme="minorHAnsi" w:cs="Arial"/>
          <w:szCs w:val="18"/>
          <w:lang w:val="en-US"/>
        </w:rPr>
        <w:t xml:space="preserve">From the pulp and paper industry, black liquor is a process byproduct obtained from the digester discharge and is primarily composed of lignin, hemicellulose, cellulose residues, and water. Managing this byproduct is a critical aspect of the industry, and typically, this byproduct is destined for controlled disposal after treatment. As an alternative to using this byproduct for the generation of high-value-added products, the process of supercritical water gasification presents itself as a promising technology, enabling the conversion of black liquor into a stream of products predominantly composed of hydrogen. This work focuses on the thermodynamic study of the black liquor gasification process in supercritical water. To solve the combined phase and equilibrium problem, methodologies involving Gibbs energy minimization will be employed, formulated in the context of nonlinear programming simulating operational conditions of isothermal reactors. The optimization tool used is the GAMS® </w:t>
      </w:r>
      <w:r w:rsidRPr="00766C61">
        <w:rPr>
          <w:rFonts w:eastAsiaTheme="minorHAnsi" w:cs="Arial"/>
          <w:i/>
          <w:iCs/>
          <w:szCs w:val="18"/>
          <w:lang w:val="en-US"/>
        </w:rPr>
        <w:t>software</w:t>
      </w:r>
      <w:r w:rsidRPr="00766C61">
        <w:rPr>
          <w:rFonts w:eastAsiaTheme="minorHAnsi" w:cs="Arial"/>
          <w:szCs w:val="18"/>
          <w:lang w:val="en-US"/>
        </w:rPr>
        <w:t xml:space="preserve"> version 23.9.5 with the assistance of the CONOPT4 solver. Initially, validation of the results obtained by the proposed modeling was performed against previously reported literature data, yielding satisfactory results with average relative errors less than 2.65% and 6.33% for H</w:t>
      </w:r>
      <w:r w:rsidRPr="00766C61">
        <w:rPr>
          <w:rFonts w:eastAsiaTheme="minorHAnsi" w:cs="Arial"/>
          <w:szCs w:val="18"/>
          <w:vertAlign w:val="subscript"/>
          <w:lang w:val="en-US"/>
        </w:rPr>
        <w:t>2</w:t>
      </w:r>
      <w:r w:rsidRPr="00766C61">
        <w:rPr>
          <w:rFonts w:eastAsiaTheme="minorHAnsi" w:cs="Arial"/>
          <w:szCs w:val="18"/>
          <w:lang w:val="en-US"/>
        </w:rPr>
        <w:t xml:space="preserve"> and CO</w:t>
      </w:r>
      <w:r w:rsidRPr="00766C61">
        <w:rPr>
          <w:rFonts w:eastAsiaTheme="minorHAnsi" w:cs="Arial"/>
          <w:i/>
          <w:iCs/>
          <w:szCs w:val="18"/>
          <w:vertAlign w:val="subscript"/>
          <w:lang w:val="en-US"/>
        </w:rPr>
        <w:t>2</w:t>
      </w:r>
      <w:r w:rsidRPr="00766C61">
        <w:rPr>
          <w:rFonts w:eastAsiaTheme="minorHAnsi" w:cs="Arial"/>
          <w:i/>
          <w:iCs/>
          <w:szCs w:val="18"/>
          <w:lang w:val="en-US"/>
        </w:rPr>
        <w:t xml:space="preserve"> </w:t>
      </w:r>
      <w:r w:rsidRPr="00766C61">
        <w:rPr>
          <w:rFonts w:eastAsiaTheme="minorHAnsi" w:cs="Arial"/>
          <w:szCs w:val="18"/>
          <w:lang w:val="en-US"/>
        </w:rPr>
        <w:t xml:space="preserve">formations, respectively. Thermodynamic approach results indicate that temperature increases tend to maximize hydrogen formation, an expected outcome considering that reactions with higher hydrogen formation indices are endothermic. In contrast to the temperature effect on hydrogen formation, increases in pressure and the amounts of black liquor in the process feed tend to minimize hydrogen formation. This can be justified by the fact that pressure increases disfavor product formation according to </w:t>
      </w:r>
      <w:r w:rsidRPr="00766C61">
        <w:rPr>
          <w:rFonts w:eastAsiaTheme="minorHAnsi" w:cs="Arial"/>
          <w:i/>
          <w:iCs/>
          <w:szCs w:val="18"/>
          <w:lang w:val="en-US"/>
        </w:rPr>
        <w:t xml:space="preserve">Le Chatelier's </w:t>
      </w:r>
      <w:r w:rsidRPr="00766C61">
        <w:rPr>
          <w:rFonts w:eastAsiaTheme="minorHAnsi" w:cs="Arial"/>
          <w:szCs w:val="18"/>
          <w:lang w:val="en-US"/>
        </w:rPr>
        <w:t>principle, and the increase in black liquor in the process feed implies lower black liquor/water ratios, thus unfavoring water displacement reactions and reducing hydrogen formation. In summary, higher hydrogen formation rates (67.33%) are achieved at elevated temperatures (800 °C), low pressures (220 bar), and low concentrations of black liquor in the process feed (0.60% wt), indicating a strong demand for water in facilitating this process when characterized for hydrogen formation.</w:t>
      </w:r>
    </w:p>
    <w:p w14:paraId="342D48F1" w14:textId="77777777" w:rsidR="00600535" w:rsidRDefault="00600535" w:rsidP="00600535">
      <w:pPr>
        <w:pStyle w:val="CETHeading1"/>
        <w:rPr>
          <w:lang w:val="en-GB"/>
        </w:rPr>
      </w:pPr>
      <w:r w:rsidRPr="00B57B36">
        <w:rPr>
          <w:lang w:val="en-GB"/>
        </w:rPr>
        <w:t>Introduction</w:t>
      </w:r>
    </w:p>
    <w:p w14:paraId="485418B9" w14:textId="77777777" w:rsidR="00B87A10" w:rsidRPr="00B87A10" w:rsidRDefault="00B87A10" w:rsidP="00B87A10">
      <w:pPr>
        <w:pStyle w:val="Paragrafoelenco"/>
        <w:tabs>
          <w:tab w:val="clear" w:pos="7100"/>
        </w:tabs>
        <w:autoSpaceDE w:val="0"/>
        <w:autoSpaceDN w:val="0"/>
        <w:adjustRightInd w:val="0"/>
        <w:spacing w:line="240" w:lineRule="auto"/>
        <w:ind w:left="0"/>
        <w:rPr>
          <w:rFonts w:eastAsiaTheme="minorHAnsi" w:cs="Arial"/>
          <w:szCs w:val="18"/>
          <w:lang w:val="en-US"/>
        </w:rPr>
      </w:pPr>
      <w:r w:rsidRPr="00B87A10">
        <w:rPr>
          <w:rFonts w:eastAsiaTheme="minorHAnsi" w:cs="Arial"/>
          <w:szCs w:val="18"/>
          <w:lang w:val="en-US"/>
        </w:rPr>
        <w:t>The expected increase in energy consumption is directly related to the increase in pollutant emissions given that the global energy matrix is ​​heavily dependent on fossil fuels. Within the context of energy sources with low environmental impact, hydrogen stands out due to its high energy density and the fact that it generates only water during its combustion. Hydrogen provides up to three times more energy (39.4 kWh/kg) when compared to fuels based on fossil sources (13.1 kWh/kg) during combustion (</w:t>
      </w:r>
      <w:proofErr w:type="spellStart"/>
      <w:r>
        <w:t>Züttel</w:t>
      </w:r>
      <w:proofErr w:type="spellEnd"/>
      <w:r>
        <w:t>, 2004)</w:t>
      </w:r>
      <w:r w:rsidRPr="00B87A10">
        <w:rPr>
          <w:rFonts w:eastAsiaTheme="minorHAnsi" w:cs="Arial"/>
          <w:szCs w:val="18"/>
          <w:lang w:val="en-US"/>
        </w:rPr>
        <w:t>.</w:t>
      </w:r>
    </w:p>
    <w:p w14:paraId="5D453C82" w14:textId="77777777" w:rsidR="00CC108A" w:rsidRDefault="00CC108A" w:rsidP="00B87A10">
      <w:pPr>
        <w:pStyle w:val="Paragrafoelenco"/>
        <w:tabs>
          <w:tab w:val="clear" w:pos="7100"/>
        </w:tabs>
        <w:autoSpaceDE w:val="0"/>
        <w:autoSpaceDN w:val="0"/>
        <w:adjustRightInd w:val="0"/>
        <w:spacing w:line="240" w:lineRule="auto"/>
        <w:ind w:left="0"/>
        <w:rPr>
          <w:rFonts w:eastAsiaTheme="minorHAnsi" w:cs="Arial"/>
          <w:szCs w:val="18"/>
          <w:lang w:val="en-US"/>
        </w:rPr>
      </w:pPr>
      <w:r w:rsidRPr="00CC108A">
        <w:rPr>
          <w:rFonts w:eastAsiaTheme="minorHAnsi" w:cs="Arial"/>
          <w:szCs w:val="18"/>
          <w:lang w:val="en-US"/>
        </w:rPr>
        <w:t>Hydrogen can be produced through different routes, through fossil fuels (coal and natural gas) without or with carbon capture, and through the electrolysis process (integrated with renewable energies such as solar and/or wind), being classified as hydrogen gray, blue and green, respectively.</w:t>
      </w:r>
      <w:r>
        <w:rPr>
          <w:rFonts w:eastAsiaTheme="minorHAnsi" w:cs="Arial"/>
          <w:szCs w:val="18"/>
          <w:lang w:val="en-US"/>
        </w:rPr>
        <w:t xml:space="preserve"> </w:t>
      </w:r>
      <w:r w:rsidRPr="00CC108A">
        <w:rPr>
          <w:rFonts w:eastAsiaTheme="minorHAnsi" w:cs="Arial"/>
          <w:szCs w:val="18"/>
          <w:lang w:val="en-US"/>
        </w:rPr>
        <w:t>Other possible paths are associated with thermochemical routes</w:t>
      </w:r>
      <w:r>
        <w:rPr>
          <w:rFonts w:eastAsiaTheme="minorHAnsi" w:cs="Arial"/>
          <w:szCs w:val="18"/>
          <w:lang w:val="en-US"/>
        </w:rPr>
        <w:t xml:space="preserve"> combined with biomass</w:t>
      </w:r>
      <w:r w:rsidRPr="00CC108A">
        <w:t xml:space="preserve"> </w:t>
      </w:r>
      <w:r w:rsidRPr="00CC108A">
        <w:rPr>
          <w:rFonts w:eastAsiaTheme="minorHAnsi" w:cs="Arial"/>
          <w:szCs w:val="18"/>
          <w:lang w:val="en-US"/>
        </w:rPr>
        <w:t>processing</w:t>
      </w:r>
      <w:r>
        <w:rPr>
          <w:rFonts w:eastAsiaTheme="minorHAnsi" w:cs="Arial"/>
          <w:szCs w:val="18"/>
          <w:lang w:val="en-US"/>
        </w:rPr>
        <w:t xml:space="preserve"> </w:t>
      </w:r>
      <w:r w:rsidR="0051328F">
        <w:rPr>
          <w:rFonts w:eastAsiaTheme="minorHAnsi" w:cs="Arial"/>
          <w:szCs w:val="18"/>
          <w:lang w:val="en-US"/>
        </w:rPr>
        <w:t>(Karaca et al., 2023)</w:t>
      </w:r>
      <w:r w:rsidRPr="00CC108A">
        <w:rPr>
          <w:rFonts w:eastAsiaTheme="minorHAnsi" w:cs="Arial"/>
          <w:szCs w:val="18"/>
          <w:lang w:val="en-US"/>
        </w:rPr>
        <w:t>.</w:t>
      </w:r>
    </w:p>
    <w:p w14:paraId="442F361F" w14:textId="77777777" w:rsidR="00B87A10" w:rsidRPr="00B87A10" w:rsidRDefault="002D0594" w:rsidP="00B87A10">
      <w:pPr>
        <w:pStyle w:val="Paragrafoelenco"/>
        <w:tabs>
          <w:tab w:val="clear" w:pos="7100"/>
        </w:tabs>
        <w:autoSpaceDE w:val="0"/>
        <w:autoSpaceDN w:val="0"/>
        <w:adjustRightInd w:val="0"/>
        <w:spacing w:line="240" w:lineRule="auto"/>
        <w:ind w:left="0"/>
        <w:rPr>
          <w:rFonts w:eastAsiaTheme="minorHAnsi" w:cs="Arial"/>
          <w:szCs w:val="18"/>
          <w:lang w:val="en-US"/>
        </w:rPr>
      </w:pPr>
      <w:r>
        <w:rPr>
          <w:rFonts w:eastAsiaTheme="minorHAnsi" w:cs="Arial"/>
          <w:szCs w:val="18"/>
          <w:lang w:val="en-US"/>
        </w:rPr>
        <w:t>Supercritical</w:t>
      </w:r>
      <w:r w:rsidR="00CC108A">
        <w:rPr>
          <w:rFonts w:eastAsiaTheme="minorHAnsi" w:cs="Arial"/>
          <w:szCs w:val="18"/>
          <w:lang w:val="en-US"/>
        </w:rPr>
        <w:t xml:space="preserve"> water gasification (SCWG)</w:t>
      </w:r>
      <w:r w:rsidR="00B87A10" w:rsidRPr="00B87A10">
        <w:rPr>
          <w:rFonts w:eastAsiaTheme="minorHAnsi" w:cs="Arial"/>
          <w:szCs w:val="18"/>
          <w:lang w:val="en-US"/>
        </w:rPr>
        <w:t xml:space="preserve"> routes have been highlighted among the possible routes for producing hydrogen from biomass, the gasification reaction in supercritical water has been playing a prominent role</w:t>
      </w:r>
      <w:r w:rsidR="00CC108A">
        <w:rPr>
          <w:rFonts w:eastAsiaTheme="minorHAnsi" w:cs="Arial"/>
          <w:szCs w:val="18"/>
          <w:lang w:val="en-US"/>
        </w:rPr>
        <w:t xml:space="preserve">, mainly because the high hydrogen amount produced during reaction </w:t>
      </w:r>
      <w:r w:rsidR="00B87A10" w:rsidRPr="00B87A10">
        <w:rPr>
          <w:rFonts w:eastAsiaTheme="minorHAnsi" w:cs="Arial"/>
          <w:szCs w:val="18"/>
          <w:lang w:val="en-US"/>
        </w:rPr>
        <w:t>(</w:t>
      </w:r>
      <w:proofErr w:type="spellStart"/>
      <w:r w:rsidR="00B87A10">
        <w:t>Ciuffi</w:t>
      </w:r>
      <w:proofErr w:type="spellEnd"/>
      <w:r w:rsidR="00B87A10">
        <w:t xml:space="preserve"> et al., 2020)</w:t>
      </w:r>
      <w:r w:rsidR="00B87A10" w:rsidRPr="00B87A10">
        <w:rPr>
          <w:rFonts w:eastAsiaTheme="minorHAnsi" w:cs="Arial"/>
          <w:szCs w:val="18"/>
          <w:lang w:val="en-US"/>
        </w:rPr>
        <w:t>. The supercritical water gasification route (SCWG) can be used for processing different types of biomass materials (Freitas and Guirardello, 2013). An alternative is to use by-products from other processes as a substrate for the SCWG process to produce hydrogen, as initially presented by Barros et al. (2022</w:t>
      </w:r>
      <w:r w:rsidR="00CC108A">
        <w:rPr>
          <w:rFonts w:eastAsiaTheme="minorHAnsi" w:cs="Arial"/>
          <w:szCs w:val="18"/>
          <w:lang w:val="en-US"/>
        </w:rPr>
        <w:t>)</w:t>
      </w:r>
      <w:r w:rsidR="00B87A10" w:rsidRPr="00B87A10">
        <w:rPr>
          <w:rFonts w:eastAsiaTheme="minorHAnsi" w:cs="Arial"/>
          <w:szCs w:val="18"/>
          <w:lang w:val="en-US"/>
        </w:rPr>
        <w:t xml:space="preserve">. </w:t>
      </w:r>
    </w:p>
    <w:p w14:paraId="623C1681" w14:textId="77777777" w:rsidR="00B87A10" w:rsidRDefault="00B87A10" w:rsidP="00B87A10">
      <w:pPr>
        <w:pStyle w:val="CETBodytext"/>
        <w:rPr>
          <w:rFonts w:eastAsiaTheme="minorHAnsi" w:cs="Arial"/>
          <w:szCs w:val="18"/>
        </w:rPr>
      </w:pPr>
      <w:r w:rsidRPr="009844B2">
        <w:rPr>
          <w:rFonts w:eastAsiaTheme="minorHAnsi" w:cs="Arial"/>
          <w:szCs w:val="18"/>
        </w:rPr>
        <w:lastRenderedPageBreak/>
        <w:t xml:space="preserve">Within this context, the </w:t>
      </w:r>
      <w:r w:rsidR="00FD5631" w:rsidRPr="009844B2">
        <w:rPr>
          <w:rFonts w:eastAsiaTheme="minorHAnsi" w:cs="Arial"/>
          <w:szCs w:val="18"/>
        </w:rPr>
        <w:t>focus</w:t>
      </w:r>
      <w:r w:rsidRPr="009844B2">
        <w:rPr>
          <w:rFonts w:eastAsiaTheme="minorHAnsi" w:cs="Arial"/>
          <w:szCs w:val="18"/>
        </w:rPr>
        <w:t xml:space="preserve"> of this article is to thermodynamically analyze the black liquor SCWG process</w:t>
      </w:r>
      <w:r>
        <w:rPr>
          <w:rFonts w:eastAsiaTheme="minorHAnsi" w:cs="Arial"/>
          <w:szCs w:val="18"/>
        </w:rPr>
        <w:t xml:space="preserve"> aiming </w:t>
      </w:r>
      <w:r w:rsidR="0076270D">
        <w:rPr>
          <w:rFonts w:eastAsiaTheme="minorHAnsi" w:cs="Arial"/>
          <w:szCs w:val="18"/>
        </w:rPr>
        <w:t xml:space="preserve">for </w:t>
      </w:r>
      <w:r>
        <w:rPr>
          <w:rFonts w:eastAsiaTheme="minorHAnsi" w:cs="Arial"/>
          <w:szCs w:val="18"/>
        </w:rPr>
        <w:t>hydrogen production</w:t>
      </w:r>
      <w:r w:rsidRPr="009844B2">
        <w:rPr>
          <w:rFonts w:eastAsiaTheme="minorHAnsi" w:cs="Arial"/>
          <w:szCs w:val="18"/>
        </w:rPr>
        <w:t xml:space="preserve">. To achieve this, the Gibbs energy minimization methodology will be applied to represent the operation </w:t>
      </w:r>
      <w:r>
        <w:rPr>
          <w:rFonts w:eastAsiaTheme="minorHAnsi" w:cs="Arial"/>
          <w:szCs w:val="18"/>
        </w:rPr>
        <w:t xml:space="preserve">representing </w:t>
      </w:r>
      <w:r w:rsidRPr="009844B2">
        <w:rPr>
          <w:rFonts w:eastAsiaTheme="minorHAnsi" w:cs="Arial"/>
          <w:szCs w:val="18"/>
        </w:rPr>
        <w:t>isothermal reactors. The results obtained will enable a better understanding of the use of the SCWG route for the thermochemical valuation of black liquor</w:t>
      </w:r>
      <w:r w:rsidR="00D20B48">
        <w:rPr>
          <w:rFonts w:eastAsiaTheme="minorHAnsi" w:cs="Arial"/>
          <w:szCs w:val="18"/>
        </w:rPr>
        <w:t xml:space="preserve"> to produce green hydrogen from</w:t>
      </w:r>
      <w:r w:rsidRPr="009844B2">
        <w:rPr>
          <w:rFonts w:eastAsiaTheme="minorHAnsi" w:cs="Arial"/>
          <w:szCs w:val="18"/>
        </w:rPr>
        <w:t xml:space="preserve"> an important residue from the paper and cellulose industry.</w:t>
      </w:r>
    </w:p>
    <w:p w14:paraId="36384B80" w14:textId="77777777" w:rsidR="00B87A10" w:rsidRDefault="00B87A10" w:rsidP="00B87A10">
      <w:pPr>
        <w:pStyle w:val="CETHeading1"/>
      </w:pPr>
      <w:r>
        <w:t>Methodology</w:t>
      </w:r>
    </w:p>
    <w:p w14:paraId="28B531E9" w14:textId="77777777" w:rsidR="00B87A10" w:rsidRDefault="00B87A10" w:rsidP="00B87A10">
      <w:pPr>
        <w:pStyle w:val="CETBodytext"/>
        <w:rPr>
          <w:rFonts w:eastAsiaTheme="minorHAnsi" w:cs="Arial"/>
          <w:b/>
          <w:bCs/>
          <w:szCs w:val="18"/>
        </w:rPr>
      </w:pPr>
      <w:r w:rsidRPr="00B87A10">
        <w:rPr>
          <w:b/>
          <w:bCs/>
        </w:rPr>
        <w:t xml:space="preserve">2.1. </w:t>
      </w:r>
      <w:r>
        <w:rPr>
          <w:rFonts w:eastAsiaTheme="minorHAnsi" w:cs="Arial"/>
          <w:b/>
          <w:bCs/>
          <w:szCs w:val="18"/>
        </w:rPr>
        <w:t>Modelling isothermal reactors: Gibbs energy minimization model</w:t>
      </w:r>
    </w:p>
    <w:p w14:paraId="4A488B44" w14:textId="77777777" w:rsidR="00B87A10" w:rsidRDefault="00B87A10" w:rsidP="00B87A10">
      <w:pPr>
        <w:pStyle w:val="Paragrafoelenco"/>
        <w:spacing w:line="240" w:lineRule="auto"/>
        <w:ind w:left="0"/>
        <w:rPr>
          <w:rFonts w:cs="Arial"/>
          <w:szCs w:val="18"/>
          <w:lang w:val="en-US"/>
        </w:rPr>
      </w:pPr>
      <w:r w:rsidRPr="00982184">
        <w:rPr>
          <w:rFonts w:cs="Arial"/>
          <w:szCs w:val="18"/>
          <w:lang w:val="en-US"/>
        </w:rPr>
        <w:t>Under conditions of constant pressure (</w:t>
      </w:r>
      <w:r w:rsidRPr="00982184">
        <w:rPr>
          <w:rFonts w:cs="Arial"/>
          <w:i/>
          <w:szCs w:val="18"/>
          <w:lang w:val="en-US"/>
        </w:rPr>
        <w:t>P</w:t>
      </w:r>
      <w:r w:rsidRPr="00982184">
        <w:rPr>
          <w:rFonts w:cs="Arial"/>
          <w:szCs w:val="18"/>
          <w:lang w:val="en-US"/>
        </w:rPr>
        <w:t>) and temperature (</w:t>
      </w:r>
      <w:r w:rsidRPr="00982184">
        <w:rPr>
          <w:rFonts w:cs="Arial"/>
          <w:i/>
          <w:szCs w:val="18"/>
          <w:lang w:val="en-US"/>
        </w:rPr>
        <w:t>T</w:t>
      </w:r>
      <w:r w:rsidRPr="00982184">
        <w:rPr>
          <w:rFonts w:cs="Arial"/>
          <w:szCs w:val="18"/>
          <w:lang w:val="en-US"/>
        </w:rPr>
        <w:t xml:space="preserve">), the condition of thermodynamic equilibrium can be formulated as a problem of minimizing Gibbs energy </w:t>
      </w:r>
      <w:r>
        <w:rPr>
          <w:rFonts w:cs="Arial"/>
          <w:szCs w:val="18"/>
          <w:lang w:val="en-US"/>
        </w:rPr>
        <w:t>(</w:t>
      </w:r>
      <w:r>
        <w:rPr>
          <w:rFonts w:cs="Arial"/>
          <w:color w:val="000000"/>
          <w:szCs w:val="18"/>
          <w:lang w:val="en-US"/>
        </w:rPr>
        <w:t>Gomes et al., 2022)</w:t>
      </w:r>
      <w:r w:rsidRPr="00982184">
        <w:rPr>
          <w:rFonts w:cs="Arial"/>
          <w:szCs w:val="18"/>
          <w:lang w:val="en-US"/>
        </w:rPr>
        <w:t>. The total Gibbs minimization problem of the system can be described according to Equation 1.</w:t>
      </w:r>
    </w:p>
    <w:p w14:paraId="5C137E74" w14:textId="77777777" w:rsidR="006B4083" w:rsidRPr="00982184" w:rsidRDefault="006B4083" w:rsidP="00B87A10">
      <w:pPr>
        <w:pStyle w:val="Paragrafoelenco"/>
        <w:spacing w:line="240" w:lineRule="auto"/>
        <w:ind w:left="0"/>
        <w:rPr>
          <w:rFonts w:cs="Arial"/>
          <w:szCs w:val="18"/>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4"/>
        <w:gridCol w:w="533"/>
      </w:tblGrid>
      <w:tr w:rsidR="00B87A10" w:rsidRPr="00982184" w14:paraId="5F762561" w14:textId="77777777" w:rsidTr="00A50873">
        <w:tc>
          <w:tcPr>
            <w:tcW w:w="8254" w:type="dxa"/>
          </w:tcPr>
          <w:p w14:paraId="72E6FE4E" w14:textId="77777777" w:rsidR="00B87A10" w:rsidRPr="00982184" w:rsidRDefault="00000000" w:rsidP="004F11AA">
            <w:pPr>
              <w:rPr>
                <w:rFonts w:cs="Arial"/>
                <w:szCs w:val="18"/>
              </w:rPr>
            </w:pPr>
            <m:oMathPara>
              <m:oMathParaPr>
                <m:jc m:val="left"/>
              </m:oMathParaPr>
              <m:oMath>
                <m:func>
                  <m:funcPr>
                    <m:ctrlPr>
                      <w:rPr>
                        <w:rFonts w:ascii="Cambria Math" w:hAnsi="Cambria Math" w:cs="Arial"/>
                        <w:i/>
                        <w:szCs w:val="18"/>
                      </w:rPr>
                    </m:ctrlPr>
                  </m:funcPr>
                  <m:fName>
                    <m:r>
                      <m:rPr>
                        <m:sty m:val="p"/>
                      </m:rPr>
                      <w:rPr>
                        <w:rFonts w:ascii="Cambria Math" w:hAnsi="Cambria Math" w:cs="Arial"/>
                        <w:szCs w:val="18"/>
                      </w:rPr>
                      <m:t>min</m:t>
                    </m:r>
                  </m:fName>
                  <m:e>
                    <m:r>
                      <w:rPr>
                        <w:rFonts w:ascii="Cambria Math" w:hAnsi="Cambria Math" w:cs="Arial"/>
                        <w:szCs w:val="18"/>
                      </w:rPr>
                      <m:t>G</m:t>
                    </m:r>
                  </m:e>
                </m:func>
                <m:r>
                  <m:rPr>
                    <m:sty m:val="p"/>
                  </m:rPr>
                  <w:rPr>
                    <w:rFonts w:ascii="Cambria Math" w:hAnsi="Cambria Math" w:cs="Arial"/>
                    <w:szCs w:val="18"/>
                  </w:rPr>
                  <m:t xml:space="preserve"> = </m:t>
                </m:r>
                <m:nary>
                  <m:naryPr>
                    <m:chr m:val="∑"/>
                    <m:limLoc m:val="undOvr"/>
                    <m:ctrlPr>
                      <w:rPr>
                        <w:rFonts w:ascii="Cambria Math" w:hAnsi="Cambria Math" w:cs="Arial"/>
                        <w:i/>
                        <w:iCs/>
                        <w:szCs w:val="18"/>
                      </w:rPr>
                    </m:ctrlPr>
                  </m:naryPr>
                  <m:sub>
                    <m:r>
                      <w:rPr>
                        <w:rFonts w:ascii="Cambria Math" w:hAnsi="Cambria Math" w:cs="Arial"/>
                        <w:szCs w:val="18"/>
                      </w:rPr>
                      <m:t>i</m:t>
                    </m:r>
                    <m:r>
                      <m:rPr>
                        <m:sty m:val="p"/>
                      </m:rPr>
                      <w:rPr>
                        <w:rFonts w:ascii="Cambria Math" w:hAnsi="Cambria Math" w:cs="Arial"/>
                        <w:szCs w:val="18"/>
                      </w:rPr>
                      <m:t>=1</m:t>
                    </m:r>
                  </m:sub>
                  <m:sup>
                    <m:r>
                      <w:rPr>
                        <w:rFonts w:ascii="Cambria Math" w:hAnsi="Cambria Math" w:cs="Arial"/>
                        <w:szCs w:val="18"/>
                      </w:rPr>
                      <m:t>NC</m:t>
                    </m:r>
                  </m:sup>
                  <m:e>
                    <m:nary>
                      <m:naryPr>
                        <m:chr m:val="∑"/>
                        <m:limLoc m:val="undOvr"/>
                        <m:ctrlPr>
                          <w:rPr>
                            <w:rFonts w:ascii="Cambria Math" w:hAnsi="Cambria Math" w:cs="Arial"/>
                            <w:i/>
                            <w:iCs/>
                            <w:szCs w:val="18"/>
                          </w:rPr>
                        </m:ctrlPr>
                      </m:naryPr>
                      <m:sub>
                        <m:r>
                          <w:rPr>
                            <w:rFonts w:ascii="Cambria Math" w:hAnsi="Cambria Math" w:cs="Arial"/>
                            <w:szCs w:val="18"/>
                          </w:rPr>
                          <m:t>k</m:t>
                        </m:r>
                        <m:r>
                          <m:rPr>
                            <m:sty m:val="p"/>
                          </m:rPr>
                          <w:rPr>
                            <w:rFonts w:ascii="Cambria Math" w:hAnsi="Cambria Math" w:cs="Arial"/>
                            <w:szCs w:val="18"/>
                          </w:rPr>
                          <m:t>=1</m:t>
                        </m:r>
                      </m:sub>
                      <m:sup>
                        <m:r>
                          <w:rPr>
                            <w:rFonts w:ascii="Cambria Math" w:hAnsi="Cambria Math" w:cs="Arial"/>
                            <w:szCs w:val="18"/>
                          </w:rPr>
                          <m:t>NF</m:t>
                        </m:r>
                      </m:sup>
                      <m:e>
                        <m:sSubSup>
                          <m:sSubSupPr>
                            <m:ctrlPr>
                              <w:rPr>
                                <w:rFonts w:ascii="Cambria Math" w:hAnsi="Cambria Math" w:cs="Arial"/>
                                <w:i/>
                                <w:iCs/>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k</m:t>
                            </m:r>
                          </m:sup>
                        </m:sSubSup>
                      </m:e>
                    </m:nary>
                    <m:r>
                      <w:rPr>
                        <w:rFonts w:ascii="Cambria Math" w:hAnsi="Cambria Math" w:cs="Arial"/>
                        <w:szCs w:val="18"/>
                      </w:rPr>
                      <m:t>∙</m:t>
                    </m:r>
                    <m:d>
                      <m:dPr>
                        <m:begChr m:val="["/>
                        <m:endChr m:val="]"/>
                        <m:ctrlPr>
                          <w:rPr>
                            <w:rFonts w:ascii="Cambria Math" w:hAnsi="Cambria Math" w:cs="Arial"/>
                            <w:i/>
                            <w:iCs/>
                            <w:szCs w:val="18"/>
                          </w:rPr>
                        </m:ctrlPr>
                      </m:dPr>
                      <m:e>
                        <m:sSubSup>
                          <m:sSubSupPr>
                            <m:ctrlPr>
                              <w:rPr>
                                <w:rFonts w:ascii="Cambria Math" w:hAnsi="Cambria Math" w:cs="Arial"/>
                                <w:i/>
                                <w:iCs/>
                                <w:szCs w:val="18"/>
                              </w:rPr>
                            </m:ctrlPr>
                          </m:sSubSupPr>
                          <m:e>
                            <m:r>
                              <w:rPr>
                                <w:rFonts w:ascii="Cambria Math" w:hAnsi="Cambria Math" w:cs="Arial"/>
                                <w:szCs w:val="18"/>
                              </w:rPr>
                              <m:t>μ</m:t>
                            </m:r>
                          </m:e>
                          <m:sub>
                            <m:r>
                              <w:rPr>
                                <w:rFonts w:ascii="Cambria Math" w:hAnsi="Cambria Math" w:cs="Arial"/>
                                <w:szCs w:val="18"/>
                              </w:rPr>
                              <m:t>i</m:t>
                            </m:r>
                          </m:sub>
                          <m:sup>
                            <m:r>
                              <w:rPr>
                                <w:rFonts w:ascii="Cambria Math" w:hAnsi="Cambria Math" w:cs="Arial"/>
                                <w:szCs w:val="18"/>
                              </w:rPr>
                              <m:t>o</m:t>
                            </m:r>
                          </m:sup>
                        </m:sSubSup>
                        <m:r>
                          <m:rPr>
                            <m:sty m:val="p"/>
                          </m:rPr>
                          <w:rPr>
                            <w:rFonts w:ascii="Cambria Math" w:hAnsi="Cambria Math" w:cs="Arial"/>
                            <w:szCs w:val="18"/>
                          </w:rPr>
                          <m:t>+</m:t>
                        </m:r>
                        <m:r>
                          <w:rPr>
                            <w:rFonts w:ascii="Cambria Math" w:hAnsi="Cambria Math" w:cs="Arial"/>
                            <w:szCs w:val="18"/>
                          </w:rPr>
                          <m:t>RTln</m:t>
                        </m:r>
                        <m:d>
                          <m:dPr>
                            <m:ctrlPr>
                              <w:rPr>
                                <w:rFonts w:ascii="Cambria Math" w:hAnsi="Cambria Math" w:cs="Arial"/>
                                <w:i/>
                                <w:iCs/>
                                <w:szCs w:val="18"/>
                              </w:rPr>
                            </m:ctrlPr>
                          </m:dPr>
                          <m:e>
                            <m:f>
                              <m:fPr>
                                <m:type m:val="lin"/>
                                <m:ctrlPr>
                                  <w:rPr>
                                    <w:rFonts w:ascii="Cambria Math" w:hAnsi="Cambria Math" w:cs="Arial"/>
                                    <w:i/>
                                    <w:iCs/>
                                    <w:szCs w:val="18"/>
                                  </w:rPr>
                                </m:ctrlPr>
                              </m:fPr>
                              <m:num>
                                <m:sSubSup>
                                  <m:sSubSupPr>
                                    <m:ctrlPr>
                                      <w:rPr>
                                        <w:rFonts w:ascii="Cambria Math" w:hAnsi="Cambria Math" w:cs="Arial"/>
                                        <w:i/>
                                        <w:iCs/>
                                        <w:szCs w:val="18"/>
                                      </w:rPr>
                                    </m:ctrlPr>
                                  </m:sSubSupPr>
                                  <m:e>
                                    <m:acc>
                                      <m:accPr>
                                        <m:ctrlPr>
                                          <w:rPr>
                                            <w:rFonts w:ascii="Cambria Math" w:hAnsi="Cambria Math" w:cs="Arial"/>
                                            <w:i/>
                                            <w:iCs/>
                                            <w:szCs w:val="18"/>
                                          </w:rPr>
                                        </m:ctrlPr>
                                      </m:accPr>
                                      <m:e>
                                        <m:r>
                                          <w:rPr>
                                            <w:rFonts w:ascii="Cambria Math" w:hAnsi="Cambria Math" w:cs="Arial"/>
                                            <w:szCs w:val="18"/>
                                          </w:rPr>
                                          <m:t>f</m:t>
                                        </m:r>
                                      </m:e>
                                    </m:acc>
                                  </m:e>
                                  <m:sub>
                                    <m:r>
                                      <w:rPr>
                                        <w:rFonts w:ascii="Cambria Math" w:hAnsi="Cambria Math" w:cs="Arial"/>
                                        <w:szCs w:val="18"/>
                                      </w:rPr>
                                      <m:t>i</m:t>
                                    </m:r>
                                  </m:sub>
                                  <m:sup>
                                    <m:r>
                                      <w:rPr>
                                        <w:rFonts w:ascii="Cambria Math" w:hAnsi="Cambria Math" w:cs="Arial"/>
                                        <w:szCs w:val="18"/>
                                      </w:rPr>
                                      <m:t>k</m:t>
                                    </m:r>
                                  </m:sup>
                                </m:sSubSup>
                              </m:num>
                              <m:den>
                                <m:sSubSup>
                                  <m:sSubSupPr>
                                    <m:ctrlPr>
                                      <w:rPr>
                                        <w:rFonts w:ascii="Cambria Math" w:hAnsi="Cambria Math" w:cs="Arial"/>
                                        <w:i/>
                                        <w:iCs/>
                                        <w:szCs w:val="18"/>
                                      </w:rPr>
                                    </m:ctrlPr>
                                  </m:sSubSupPr>
                                  <m:e>
                                    <m:r>
                                      <w:rPr>
                                        <w:rFonts w:ascii="Cambria Math" w:hAnsi="Cambria Math" w:cs="Arial"/>
                                        <w:szCs w:val="18"/>
                                      </w:rPr>
                                      <m:t>f</m:t>
                                    </m:r>
                                  </m:e>
                                  <m:sub>
                                    <m:r>
                                      <w:rPr>
                                        <w:rFonts w:ascii="Cambria Math" w:hAnsi="Cambria Math" w:cs="Arial"/>
                                        <w:szCs w:val="18"/>
                                      </w:rPr>
                                      <m:t>i</m:t>
                                    </m:r>
                                  </m:sub>
                                  <m:sup>
                                    <m:r>
                                      <w:rPr>
                                        <w:rFonts w:ascii="Cambria Math" w:hAnsi="Cambria Math" w:cs="Arial"/>
                                        <w:szCs w:val="18"/>
                                      </w:rPr>
                                      <m:t>o</m:t>
                                    </m:r>
                                  </m:sup>
                                </m:sSubSup>
                              </m:den>
                            </m:f>
                          </m:e>
                        </m:d>
                      </m:e>
                    </m:d>
                  </m:e>
                </m:nary>
              </m:oMath>
            </m:oMathPara>
          </w:p>
        </w:tc>
        <w:tc>
          <w:tcPr>
            <w:tcW w:w="533" w:type="dxa"/>
            <w:vAlign w:val="center"/>
          </w:tcPr>
          <w:p w14:paraId="22B6F232" w14:textId="77777777" w:rsidR="00B87A10" w:rsidRPr="00982184" w:rsidRDefault="004F11AA" w:rsidP="00A50873">
            <w:pPr>
              <w:jc w:val="right"/>
              <w:rPr>
                <w:rFonts w:cs="Arial"/>
                <w:szCs w:val="18"/>
              </w:rPr>
            </w:pPr>
            <w:r>
              <w:rPr>
                <w:rFonts w:cs="Arial"/>
                <w:szCs w:val="18"/>
              </w:rPr>
              <w:t xml:space="preserve"> </w:t>
            </w:r>
            <w:r w:rsidR="00B87A10" w:rsidRPr="00982184">
              <w:rPr>
                <w:rFonts w:cs="Arial"/>
                <w:szCs w:val="18"/>
              </w:rPr>
              <w:t>(1)</w:t>
            </w:r>
          </w:p>
        </w:tc>
      </w:tr>
      <w:tr w:rsidR="006B4083" w:rsidRPr="00982184" w14:paraId="1E00A02A" w14:textId="77777777" w:rsidTr="00A50873">
        <w:tc>
          <w:tcPr>
            <w:tcW w:w="8254" w:type="dxa"/>
          </w:tcPr>
          <w:p w14:paraId="5284E370" w14:textId="77777777" w:rsidR="006B4083" w:rsidRDefault="006B4083" w:rsidP="00A50873">
            <w:pPr>
              <w:rPr>
                <w:rFonts w:cs="Arial"/>
                <w:szCs w:val="18"/>
              </w:rPr>
            </w:pPr>
          </w:p>
        </w:tc>
        <w:tc>
          <w:tcPr>
            <w:tcW w:w="533" w:type="dxa"/>
            <w:vAlign w:val="center"/>
          </w:tcPr>
          <w:p w14:paraId="4F161A6D" w14:textId="77777777" w:rsidR="006B4083" w:rsidRPr="00982184" w:rsidRDefault="006B4083" w:rsidP="00A50873">
            <w:pPr>
              <w:jc w:val="right"/>
              <w:rPr>
                <w:rFonts w:cs="Arial"/>
                <w:szCs w:val="18"/>
              </w:rPr>
            </w:pPr>
          </w:p>
        </w:tc>
      </w:tr>
    </w:tbl>
    <w:p w14:paraId="190D3990" w14:textId="77777777" w:rsidR="00B87A10" w:rsidRDefault="00B87A10" w:rsidP="00B87A10">
      <w:pPr>
        <w:tabs>
          <w:tab w:val="clear" w:pos="7100"/>
        </w:tabs>
        <w:autoSpaceDE w:val="0"/>
        <w:autoSpaceDN w:val="0"/>
        <w:adjustRightInd w:val="0"/>
        <w:spacing w:line="240" w:lineRule="auto"/>
        <w:rPr>
          <w:rFonts w:cs="Arial"/>
          <w:szCs w:val="18"/>
          <w:lang w:val="en-US"/>
        </w:rPr>
      </w:pPr>
      <w:r w:rsidRPr="00982184">
        <w:rPr>
          <w:rFonts w:cs="Arial"/>
          <w:szCs w:val="18"/>
          <w:lang w:val="en-US"/>
        </w:rPr>
        <w:t>The system in the condition of Gibbs minimum energy must satisfy the condition of non-negativity of the number of moles</w:t>
      </w:r>
      <w:r w:rsidR="006B4083">
        <w:rPr>
          <w:rFonts w:cs="Arial"/>
          <w:szCs w:val="18"/>
          <w:lang w:val="en-US"/>
        </w:rPr>
        <w:t xml:space="preserve"> </w:t>
      </w:r>
      <w:r w:rsidRPr="00982184">
        <w:rPr>
          <w:rFonts w:cs="Arial"/>
          <w:szCs w:val="18"/>
          <w:lang w:val="en-US"/>
        </w:rPr>
        <w:t>and the conservation of the number of atoms (Eq.</w:t>
      </w:r>
      <w:r>
        <w:rPr>
          <w:rFonts w:cs="Arial"/>
          <w:szCs w:val="18"/>
          <w:lang w:val="en-US"/>
        </w:rPr>
        <w:t xml:space="preserve"> </w:t>
      </w:r>
      <w:r w:rsidR="00037A18">
        <w:rPr>
          <w:rFonts w:cs="Arial"/>
          <w:szCs w:val="18"/>
          <w:lang w:val="en-US"/>
        </w:rPr>
        <w:t>2</w:t>
      </w:r>
      <w:r w:rsidRPr="00982184">
        <w:rPr>
          <w:rFonts w:cs="Arial"/>
          <w:szCs w:val="18"/>
          <w:lang w:val="en-US"/>
        </w:rPr>
        <w:t>).</w:t>
      </w:r>
    </w:p>
    <w:p w14:paraId="2B65F5AC" w14:textId="77777777" w:rsidR="006B4083" w:rsidRDefault="006B4083" w:rsidP="00B87A10">
      <w:pPr>
        <w:tabs>
          <w:tab w:val="clear" w:pos="7100"/>
        </w:tabs>
        <w:autoSpaceDE w:val="0"/>
        <w:autoSpaceDN w:val="0"/>
        <w:adjustRightInd w:val="0"/>
        <w:spacing w:line="240" w:lineRule="auto"/>
        <w:rPr>
          <w:rFonts w:cs="Arial"/>
          <w:szCs w:val="18"/>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436"/>
      </w:tblGrid>
      <w:tr w:rsidR="006B4083" w14:paraId="75D53848" w14:textId="77777777" w:rsidTr="006B4083">
        <w:tc>
          <w:tcPr>
            <w:tcW w:w="8351" w:type="dxa"/>
            <w:vAlign w:val="center"/>
          </w:tcPr>
          <w:p w14:paraId="018E8F58" w14:textId="77777777" w:rsidR="006B4083" w:rsidRPr="006B4083" w:rsidRDefault="00000000" w:rsidP="006B4083">
            <w:pPr>
              <w:tabs>
                <w:tab w:val="clear" w:pos="7100"/>
              </w:tabs>
              <w:autoSpaceDE w:val="0"/>
              <w:autoSpaceDN w:val="0"/>
              <w:adjustRightInd w:val="0"/>
              <w:spacing w:line="240" w:lineRule="auto"/>
              <w:jc w:val="center"/>
              <w:rPr>
                <w:rFonts w:cs="Arial"/>
                <w:szCs w:val="18"/>
                <w:lang w:val="en-US"/>
              </w:rPr>
            </w:pPr>
            <m:oMathPara>
              <m:oMathParaPr>
                <m:jc m:val="left"/>
              </m:oMathParaPr>
              <m:oMath>
                <m:nary>
                  <m:naryPr>
                    <m:chr m:val="∑"/>
                    <m:limLoc m:val="undOvr"/>
                    <m:ctrlPr>
                      <w:rPr>
                        <w:rFonts w:ascii="Cambria Math" w:hAnsi="Cambria Math" w:cs="Arial"/>
                        <w:i/>
                        <w:iCs/>
                        <w:szCs w:val="18"/>
                      </w:rPr>
                    </m:ctrlPr>
                  </m:naryPr>
                  <m:sub>
                    <m:r>
                      <w:rPr>
                        <w:rFonts w:ascii="Cambria Math" w:hAnsi="Cambria Math" w:cs="Arial"/>
                        <w:szCs w:val="18"/>
                      </w:rPr>
                      <m:t>i</m:t>
                    </m:r>
                    <m:r>
                      <m:rPr>
                        <m:sty m:val="p"/>
                      </m:rPr>
                      <w:rPr>
                        <w:rFonts w:ascii="Cambria Math" w:hAnsi="Cambria Math" w:cs="Arial"/>
                        <w:szCs w:val="18"/>
                      </w:rPr>
                      <m:t>=1</m:t>
                    </m:r>
                  </m:sub>
                  <m:sup>
                    <m:r>
                      <w:rPr>
                        <w:rFonts w:ascii="Cambria Math" w:hAnsi="Cambria Math" w:cs="Arial"/>
                        <w:szCs w:val="18"/>
                      </w:rPr>
                      <m:t>NC</m:t>
                    </m:r>
                  </m:sup>
                  <m:e>
                    <m:nary>
                      <m:naryPr>
                        <m:chr m:val="∑"/>
                        <m:limLoc m:val="undOvr"/>
                        <m:ctrlPr>
                          <w:rPr>
                            <w:rFonts w:ascii="Cambria Math" w:hAnsi="Cambria Math" w:cs="Arial"/>
                            <w:i/>
                            <w:iCs/>
                            <w:szCs w:val="18"/>
                          </w:rPr>
                        </m:ctrlPr>
                      </m:naryPr>
                      <m:sub>
                        <m:r>
                          <w:rPr>
                            <w:rFonts w:ascii="Cambria Math" w:hAnsi="Cambria Math" w:cs="Arial"/>
                            <w:szCs w:val="18"/>
                          </w:rPr>
                          <m:t>k</m:t>
                        </m:r>
                        <m:r>
                          <m:rPr>
                            <m:sty m:val="p"/>
                          </m:rPr>
                          <w:rPr>
                            <w:rFonts w:ascii="Cambria Math" w:hAnsi="Cambria Math" w:cs="Arial"/>
                            <w:szCs w:val="18"/>
                          </w:rPr>
                          <m:t>=1</m:t>
                        </m:r>
                      </m:sub>
                      <m:sup>
                        <m:r>
                          <w:rPr>
                            <w:rFonts w:ascii="Cambria Math" w:hAnsi="Cambria Math" w:cs="Arial"/>
                            <w:szCs w:val="18"/>
                          </w:rPr>
                          <m:t>NF</m:t>
                        </m:r>
                      </m:sup>
                      <m:e>
                        <m:d>
                          <m:dPr>
                            <m:begChr m:val=""/>
                            <m:ctrlPr>
                              <w:rPr>
                                <w:rFonts w:ascii="Cambria Math" w:hAnsi="Cambria Math" w:cs="Arial"/>
                                <w:i/>
                                <w:iCs/>
                                <w:szCs w:val="18"/>
                              </w:rPr>
                            </m:ctrlPr>
                          </m:dPr>
                          <m:e>
                            <m:sSubSup>
                              <m:sSubSupPr>
                                <m:ctrlPr>
                                  <w:rPr>
                                    <w:rFonts w:ascii="Cambria Math" w:hAnsi="Cambria Math" w:cs="Arial"/>
                                    <w:i/>
                                    <w:iCs/>
                                    <w:szCs w:val="18"/>
                                  </w:rPr>
                                </m:ctrlPr>
                              </m:sSubSupPr>
                              <m:e>
                                <m:sSub>
                                  <m:sSubPr>
                                    <m:ctrlPr>
                                      <w:rPr>
                                        <w:rFonts w:ascii="Cambria Math" w:hAnsi="Cambria Math" w:cs="Arial"/>
                                        <w:i/>
                                        <w:iCs/>
                                        <w:szCs w:val="18"/>
                                      </w:rPr>
                                    </m:ctrlPr>
                                  </m:sSubPr>
                                  <m:e>
                                    <m:r>
                                      <m:rPr>
                                        <m:sty m:val="p"/>
                                      </m:rPr>
                                      <w:rPr>
                                        <w:rFonts w:ascii="Cambria Math" w:hAnsi="Cambria Math" w:cs="Arial"/>
                                        <w:szCs w:val="18"/>
                                      </w:rPr>
                                      <m:t>a</m:t>
                                    </m:r>
                                  </m:e>
                                  <m:sub>
                                    <m:r>
                                      <w:rPr>
                                        <w:rFonts w:ascii="Cambria Math" w:hAnsi="Cambria Math" w:cs="Arial"/>
                                        <w:szCs w:val="18"/>
                                      </w:rPr>
                                      <m:t>mi</m:t>
                                    </m:r>
                                  </m:sub>
                                </m:sSub>
                                <m:r>
                                  <w:rPr>
                                    <w:rFonts w:ascii="Cambria Math" w:hAnsi="Cambria Math" w:cs="Arial"/>
                                    <w:szCs w:val="18"/>
                                  </w:rPr>
                                  <m:t>∙</m:t>
                                </m:r>
                                <m:d>
                                  <m:dPr>
                                    <m:endChr m:val=""/>
                                    <m:ctrlPr>
                                      <w:rPr>
                                        <w:rFonts w:ascii="Cambria Math" w:hAnsi="Cambria Math" w:cs="Arial"/>
                                        <w:i/>
                                        <w:iCs/>
                                        <w:szCs w:val="18"/>
                                      </w:rPr>
                                    </m:ctrlPr>
                                  </m:dPr>
                                  <m:e>
                                    <m:r>
                                      <w:rPr>
                                        <w:rFonts w:ascii="Cambria Math" w:hAnsi="Cambria Math" w:cs="Arial"/>
                                        <w:szCs w:val="18"/>
                                      </w:rPr>
                                      <m:t>n</m:t>
                                    </m:r>
                                  </m:e>
                                </m:d>
                              </m:e>
                              <m:sub>
                                <m:r>
                                  <w:rPr>
                                    <w:rFonts w:ascii="Cambria Math" w:hAnsi="Cambria Math" w:cs="Arial"/>
                                    <w:szCs w:val="18"/>
                                  </w:rPr>
                                  <m:t>i</m:t>
                                </m:r>
                              </m:sub>
                              <m:sup>
                                <m:r>
                                  <w:rPr>
                                    <w:rFonts w:ascii="Cambria Math" w:hAnsi="Cambria Math" w:cs="Arial"/>
                                    <w:szCs w:val="18"/>
                                  </w:rPr>
                                  <m:t>k</m:t>
                                </m:r>
                              </m:sup>
                            </m:sSubSup>
                          </m:e>
                        </m:d>
                      </m:e>
                    </m:nary>
                  </m:e>
                </m:nary>
                <m:r>
                  <m:rPr>
                    <m:sty m:val="p"/>
                  </m:rPr>
                  <w:rPr>
                    <w:rFonts w:ascii="Cambria Math" w:hAnsi="Cambria Math" w:cs="Arial"/>
                    <w:szCs w:val="18"/>
                  </w:rPr>
                  <m:t xml:space="preserve">= </m:t>
                </m:r>
                <m:nary>
                  <m:naryPr>
                    <m:chr m:val="∑"/>
                    <m:limLoc m:val="undOvr"/>
                    <m:ctrlPr>
                      <w:rPr>
                        <w:rFonts w:ascii="Cambria Math" w:hAnsi="Cambria Math" w:cs="Arial"/>
                        <w:i/>
                        <w:iCs/>
                        <w:szCs w:val="18"/>
                      </w:rPr>
                    </m:ctrlPr>
                  </m:naryPr>
                  <m:sub>
                    <m:r>
                      <w:rPr>
                        <w:rFonts w:ascii="Cambria Math" w:hAnsi="Cambria Math" w:cs="Arial"/>
                        <w:szCs w:val="18"/>
                      </w:rPr>
                      <m:t>i</m:t>
                    </m:r>
                    <m:r>
                      <m:rPr>
                        <m:sty m:val="p"/>
                      </m:rPr>
                      <w:rPr>
                        <w:rFonts w:ascii="Cambria Math" w:hAnsi="Cambria Math" w:cs="Arial"/>
                        <w:szCs w:val="18"/>
                      </w:rPr>
                      <m:t>=1</m:t>
                    </m:r>
                  </m:sub>
                  <m:sup>
                    <m:r>
                      <w:rPr>
                        <w:rFonts w:ascii="Cambria Math" w:hAnsi="Cambria Math" w:cs="Arial"/>
                        <w:szCs w:val="18"/>
                      </w:rPr>
                      <m:t>NC</m:t>
                    </m:r>
                  </m:sup>
                  <m:e>
                    <m:d>
                      <m:dPr>
                        <m:begChr m:val=""/>
                        <m:ctrlPr>
                          <w:rPr>
                            <w:rFonts w:ascii="Cambria Math" w:hAnsi="Cambria Math" w:cs="Arial"/>
                            <w:i/>
                            <w:iCs/>
                            <w:szCs w:val="18"/>
                          </w:rPr>
                        </m:ctrlPr>
                      </m:dPr>
                      <m:e>
                        <m:sSubSup>
                          <m:sSubSupPr>
                            <m:ctrlPr>
                              <w:rPr>
                                <w:rFonts w:ascii="Cambria Math" w:hAnsi="Cambria Math" w:cs="Arial"/>
                                <w:i/>
                                <w:iCs/>
                                <w:szCs w:val="18"/>
                              </w:rPr>
                            </m:ctrlPr>
                          </m:sSubSupPr>
                          <m:e>
                            <m:sSub>
                              <m:sSubPr>
                                <m:ctrlPr>
                                  <w:rPr>
                                    <w:rFonts w:ascii="Cambria Math" w:hAnsi="Cambria Math" w:cs="Arial"/>
                                    <w:i/>
                                    <w:iCs/>
                                    <w:szCs w:val="18"/>
                                  </w:rPr>
                                </m:ctrlPr>
                              </m:sSubPr>
                              <m:e>
                                <m:r>
                                  <m:rPr>
                                    <m:sty m:val="p"/>
                                  </m:rPr>
                                  <w:rPr>
                                    <w:rFonts w:ascii="Cambria Math" w:hAnsi="Cambria Math" w:cs="Arial"/>
                                    <w:szCs w:val="18"/>
                                  </w:rPr>
                                  <m:t>a</m:t>
                                </m:r>
                              </m:e>
                              <m:sub>
                                <m:r>
                                  <w:rPr>
                                    <w:rFonts w:ascii="Cambria Math" w:hAnsi="Cambria Math" w:cs="Arial"/>
                                    <w:szCs w:val="18"/>
                                  </w:rPr>
                                  <m:t>mi</m:t>
                                </m:r>
                              </m:sub>
                            </m:sSub>
                            <m:r>
                              <w:rPr>
                                <w:rFonts w:ascii="Cambria Math" w:hAnsi="Cambria Math" w:cs="Arial"/>
                                <w:szCs w:val="18"/>
                              </w:rPr>
                              <m:t>∙</m:t>
                            </m:r>
                            <m:d>
                              <m:dPr>
                                <m:endChr m:val=""/>
                                <m:ctrlPr>
                                  <w:rPr>
                                    <w:rFonts w:ascii="Cambria Math" w:hAnsi="Cambria Math" w:cs="Arial"/>
                                    <w:i/>
                                    <w:iCs/>
                                    <w:szCs w:val="18"/>
                                  </w:rPr>
                                </m:ctrlPr>
                              </m:dPr>
                              <m:e>
                                <m:r>
                                  <w:rPr>
                                    <w:rFonts w:ascii="Cambria Math" w:hAnsi="Cambria Math" w:cs="Arial"/>
                                    <w:szCs w:val="18"/>
                                  </w:rPr>
                                  <m:t>n</m:t>
                                </m:r>
                              </m:e>
                            </m:d>
                          </m:e>
                          <m:sub>
                            <m:r>
                              <w:rPr>
                                <w:rFonts w:ascii="Cambria Math" w:hAnsi="Cambria Math" w:cs="Arial"/>
                                <w:szCs w:val="18"/>
                              </w:rPr>
                              <m:t>i</m:t>
                            </m:r>
                          </m:sub>
                          <m:sup>
                            <m:r>
                              <m:rPr>
                                <m:sty m:val="p"/>
                              </m:rPr>
                              <w:rPr>
                                <w:rFonts w:ascii="Cambria Math" w:hAnsi="Cambria Math" w:cs="Arial"/>
                                <w:szCs w:val="18"/>
                              </w:rPr>
                              <m:t>0</m:t>
                            </m:r>
                          </m:sup>
                        </m:sSubSup>
                      </m:e>
                    </m:d>
                    <m:r>
                      <w:rPr>
                        <w:rFonts w:ascii="Cambria Math" w:hAnsi="Cambria Math" w:cs="Arial"/>
                        <w:szCs w:val="18"/>
                      </w:rPr>
                      <m:t xml:space="preserve">, </m:t>
                    </m:r>
                  </m:e>
                </m:nary>
                <m:r>
                  <w:rPr>
                    <w:rFonts w:ascii="Cambria Math" w:hAnsi="Cambria Math" w:cs="Arial"/>
                    <w:szCs w:val="18"/>
                  </w:rPr>
                  <m:t xml:space="preserve"> </m:t>
                </m:r>
                <m:sSubSup>
                  <m:sSubSupPr>
                    <m:ctrlPr>
                      <w:rPr>
                        <w:rFonts w:ascii="Cambria Math" w:hAnsi="Cambria Math" w:cs="Arial"/>
                        <w:i/>
                        <w:iCs/>
                        <w:szCs w:val="18"/>
                      </w:rPr>
                    </m:ctrlPr>
                  </m:sSubSupPr>
                  <m:e>
                    <m:r>
                      <w:rPr>
                        <w:rFonts w:ascii="Cambria Math" w:hAnsi="Cambria Math" w:cs="Arial"/>
                        <w:szCs w:val="18"/>
                      </w:rPr>
                      <m:t xml:space="preserve"> n</m:t>
                    </m:r>
                  </m:e>
                  <m:sub>
                    <m:r>
                      <w:rPr>
                        <w:rFonts w:ascii="Cambria Math" w:hAnsi="Cambria Math" w:cs="Arial"/>
                        <w:szCs w:val="18"/>
                      </w:rPr>
                      <m:t>i</m:t>
                    </m:r>
                  </m:sub>
                  <m:sup>
                    <m:r>
                      <w:rPr>
                        <w:rFonts w:ascii="Cambria Math" w:hAnsi="Cambria Math" w:cs="Arial"/>
                        <w:szCs w:val="18"/>
                      </w:rPr>
                      <m:t>k</m:t>
                    </m:r>
                  </m:sup>
                </m:sSubSup>
                <m:r>
                  <m:rPr>
                    <m:sty m:val="p"/>
                  </m:rPr>
                  <w:rPr>
                    <w:rFonts w:ascii="Cambria Math" w:hAnsi="Cambria Math" w:cs="Arial"/>
                    <w:szCs w:val="18"/>
                  </w:rPr>
                  <m:t xml:space="preserve"> ≥0</m:t>
                </m:r>
              </m:oMath>
            </m:oMathPara>
          </w:p>
        </w:tc>
        <w:tc>
          <w:tcPr>
            <w:tcW w:w="436" w:type="dxa"/>
            <w:vAlign w:val="center"/>
          </w:tcPr>
          <w:p w14:paraId="551DDDDD" w14:textId="77777777" w:rsidR="006B4083" w:rsidRDefault="006B4083" w:rsidP="006B4083">
            <w:pPr>
              <w:tabs>
                <w:tab w:val="clear" w:pos="7100"/>
              </w:tabs>
              <w:autoSpaceDE w:val="0"/>
              <w:autoSpaceDN w:val="0"/>
              <w:adjustRightInd w:val="0"/>
              <w:spacing w:line="240" w:lineRule="auto"/>
              <w:jc w:val="center"/>
              <w:rPr>
                <w:rFonts w:cs="Arial"/>
                <w:szCs w:val="18"/>
                <w:lang w:val="en-US"/>
              </w:rPr>
            </w:pPr>
            <w:r>
              <w:rPr>
                <w:rFonts w:cs="Arial"/>
                <w:szCs w:val="18"/>
                <w:lang w:val="en-US"/>
              </w:rPr>
              <w:t>(2)</w:t>
            </w:r>
          </w:p>
        </w:tc>
      </w:tr>
    </w:tbl>
    <w:p w14:paraId="0FDD1506" w14:textId="77777777" w:rsidR="00B87A10" w:rsidRPr="00982184" w:rsidRDefault="00B87A10" w:rsidP="00B87A10">
      <w:pPr>
        <w:tabs>
          <w:tab w:val="clear" w:pos="7100"/>
        </w:tabs>
        <w:autoSpaceDE w:val="0"/>
        <w:autoSpaceDN w:val="0"/>
        <w:adjustRightInd w:val="0"/>
        <w:spacing w:line="240" w:lineRule="auto"/>
        <w:jc w:val="left"/>
        <w:rPr>
          <w:rFonts w:cs="Arial"/>
          <w:szCs w:val="18"/>
          <w:lang w:val="en-US"/>
        </w:rPr>
      </w:pPr>
    </w:p>
    <w:p w14:paraId="2F7C4C31" w14:textId="77777777" w:rsidR="00B87A10" w:rsidRDefault="00B87A10" w:rsidP="00B87A10">
      <w:pPr>
        <w:pStyle w:val="Paragrafoelenco"/>
        <w:autoSpaceDE w:val="0"/>
        <w:autoSpaceDN w:val="0"/>
        <w:adjustRightInd w:val="0"/>
        <w:spacing w:after="200" w:line="240" w:lineRule="auto"/>
        <w:ind w:left="0"/>
        <w:rPr>
          <w:rFonts w:cstheme="minorHAnsi"/>
          <w:lang w:val="en-US"/>
        </w:rPr>
      </w:pPr>
      <w:r w:rsidRPr="00E70D4E">
        <w:rPr>
          <w:rFonts w:cstheme="minorHAnsi"/>
          <w:lang w:val="en-US"/>
        </w:rPr>
        <w:t>To simplify the thermodynamic modeling of the process, the solid phase was treated as ideal</w:t>
      </w:r>
      <w:r>
        <w:rPr>
          <w:rFonts w:cstheme="minorHAnsi"/>
          <w:lang w:val="en-US"/>
        </w:rPr>
        <w:t>,</w:t>
      </w:r>
      <w:r w:rsidRPr="00E70D4E">
        <w:rPr>
          <w:rFonts w:cstheme="minorHAnsi"/>
          <w:lang w:val="en-US"/>
        </w:rPr>
        <w:t xml:space="preserve"> eliminating the need to estimate non-idealities</w:t>
      </w:r>
      <w:r>
        <w:rPr>
          <w:rFonts w:cstheme="minorHAnsi"/>
          <w:lang w:val="en-US"/>
        </w:rPr>
        <w:t xml:space="preserve"> for this phase</w:t>
      </w:r>
      <w:r w:rsidRPr="00E70D4E">
        <w:rPr>
          <w:rFonts w:cstheme="minorHAnsi"/>
          <w:lang w:val="en-US"/>
        </w:rPr>
        <w:t>.</w:t>
      </w:r>
    </w:p>
    <w:p w14:paraId="4E83B271" w14:textId="77777777" w:rsidR="006B4083" w:rsidRPr="00037A18" w:rsidRDefault="00B87A10" w:rsidP="00B87A10">
      <w:pPr>
        <w:pStyle w:val="Paragrafoelenco"/>
        <w:autoSpaceDE w:val="0"/>
        <w:autoSpaceDN w:val="0"/>
        <w:adjustRightInd w:val="0"/>
        <w:spacing w:after="200" w:line="240" w:lineRule="auto"/>
        <w:ind w:left="0"/>
        <w:rPr>
          <w:rFonts w:cs="Arial"/>
          <w:color w:val="000000"/>
          <w:szCs w:val="18"/>
          <w:lang w:val="en-US"/>
        </w:rPr>
      </w:pPr>
      <w:r w:rsidRPr="00982184">
        <w:rPr>
          <w:rFonts w:cs="Arial"/>
          <w:szCs w:val="18"/>
          <w:lang w:val="en-US"/>
        </w:rPr>
        <w:t xml:space="preserve">For the prediction of fugacity coefficients in reaction systems under supercritical conditions, equations of state (EoS) must be carefully selected. There are reports of successful applications of Peng-Robinson (PR) and Peng-Robinson Boston Mathias (PR-BM) EoS in the study of supercritical biomass-in-water gasification reaction systems </w:t>
      </w:r>
      <w:r>
        <w:rPr>
          <w:rFonts w:cs="Arial"/>
          <w:szCs w:val="18"/>
          <w:lang w:val="en-US"/>
        </w:rPr>
        <w:t>(</w:t>
      </w:r>
      <w:proofErr w:type="spellStart"/>
      <w:r>
        <w:rPr>
          <w:rFonts w:cs="Arial"/>
          <w:szCs w:val="18"/>
          <w:lang w:val="en-US"/>
        </w:rPr>
        <w:t>Hantoko</w:t>
      </w:r>
      <w:proofErr w:type="spellEnd"/>
      <w:r>
        <w:rPr>
          <w:rFonts w:cs="Arial"/>
          <w:szCs w:val="18"/>
          <w:lang w:val="en-US"/>
        </w:rPr>
        <w:t xml:space="preserve"> et al., 2019)</w:t>
      </w:r>
      <w:r w:rsidRPr="00982184">
        <w:rPr>
          <w:rFonts w:cs="Arial"/>
          <w:color w:val="000000"/>
          <w:szCs w:val="18"/>
          <w:lang w:val="en-US"/>
        </w:rPr>
        <w:t>.</w:t>
      </w:r>
      <w:r w:rsidRPr="00982184">
        <w:rPr>
          <w:rFonts w:cs="Arial"/>
          <w:szCs w:val="18"/>
          <w:lang w:val="en-US"/>
        </w:rPr>
        <w:t xml:space="preserve"> For this study, the </w:t>
      </w:r>
      <w:r w:rsidR="005E23A5">
        <w:rPr>
          <w:rFonts w:cs="Arial"/>
          <w:szCs w:val="18"/>
          <w:lang w:val="en-US"/>
        </w:rPr>
        <w:t xml:space="preserve">PR </w:t>
      </w:r>
      <w:r w:rsidRPr="00982184">
        <w:rPr>
          <w:rFonts w:cs="Arial"/>
          <w:szCs w:val="18"/>
          <w:lang w:val="en-US"/>
        </w:rPr>
        <w:t xml:space="preserve">EoS </w:t>
      </w:r>
      <w:r>
        <w:rPr>
          <w:rFonts w:cs="Arial"/>
          <w:szCs w:val="18"/>
          <w:lang w:val="en-US"/>
        </w:rPr>
        <w:t xml:space="preserve">(Eq. </w:t>
      </w:r>
      <w:r w:rsidR="00037A18">
        <w:rPr>
          <w:rFonts w:cs="Arial"/>
          <w:szCs w:val="18"/>
          <w:lang w:val="en-US"/>
        </w:rPr>
        <w:t>3</w:t>
      </w:r>
      <w:r>
        <w:rPr>
          <w:rFonts w:cs="Arial"/>
          <w:szCs w:val="18"/>
          <w:lang w:val="en-US"/>
        </w:rPr>
        <w:t xml:space="preserve">) </w:t>
      </w:r>
      <w:r w:rsidRPr="00982184">
        <w:rPr>
          <w:rFonts w:cs="Arial"/>
          <w:szCs w:val="18"/>
          <w:lang w:val="en-US"/>
        </w:rPr>
        <w:t>was applied to calculate the fugacity coefficients of the verified system. Simplified mixing rules were used</w:t>
      </w:r>
      <w:r w:rsidR="002209D2">
        <w:rPr>
          <w:rFonts w:cs="Arial"/>
          <w:szCs w:val="18"/>
          <w:lang w:val="en-US"/>
        </w:rPr>
        <w:t xml:space="preserve"> as reported by </w:t>
      </w:r>
      <w:proofErr w:type="spellStart"/>
      <w:r w:rsidR="002209D2">
        <w:rPr>
          <w:rFonts w:cs="Arial"/>
          <w:szCs w:val="18"/>
          <w:lang w:val="en-US"/>
        </w:rPr>
        <w:t>Downling</w:t>
      </w:r>
      <w:proofErr w:type="spellEnd"/>
      <w:r w:rsidR="002209D2">
        <w:rPr>
          <w:rFonts w:cs="Arial"/>
          <w:szCs w:val="18"/>
          <w:lang w:val="en-US"/>
        </w:rPr>
        <w:t xml:space="preserve"> et al. </w:t>
      </w:r>
      <w:r>
        <w:rPr>
          <w:rFonts w:cs="Arial"/>
          <w:szCs w:val="18"/>
          <w:lang w:val="en-US"/>
        </w:rPr>
        <w:t>(2015)</w:t>
      </w:r>
      <w:r w:rsidRPr="00982184">
        <w:rPr>
          <w:rFonts w:cs="Arial"/>
          <w:color w:val="000000"/>
          <w:szCs w:val="18"/>
          <w:lang w:val="en-US"/>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436"/>
      </w:tblGrid>
      <w:tr w:rsidR="00B87A10" w:rsidRPr="00982184" w14:paraId="585EA633" w14:textId="77777777" w:rsidTr="002209D2">
        <w:trPr>
          <w:trHeight w:val="513"/>
        </w:trPr>
        <w:tc>
          <w:tcPr>
            <w:tcW w:w="8352" w:type="dxa"/>
          </w:tcPr>
          <w:p w14:paraId="2D616D32" w14:textId="77777777" w:rsidR="00B87A10" w:rsidRPr="00982184" w:rsidRDefault="00000000" w:rsidP="0017106E">
            <w:pPr>
              <w:rPr>
                <w:rFonts w:cstheme="minorHAnsi"/>
                <w:i/>
                <w:iCs/>
                <w:szCs w:val="18"/>
              </w:rPr>
            </w:pPr>
            <m:oMathPara>
              <m:oMathParaPr>
                <m:jc m:val="left"/>
              </m:oMathParaPr>
              <m:oMath>
                <m:func>
                  <m:funcPr>
                    <m:ctrlPr>
                      <w:rPr>
                        <w:rFonts w:ascii="Cambria Math" w:hAnsi="Cambria Math" w:cstheme="minorHAnsi"/>
                        <w:i/>
                        <w:iCs/>
                        <w:szCs w:val="18"/>
                      </w:rPr>
                    </m:ctrlPr>
                  </m:funcPr>
                  <m:fName>
                    <m:func>
                      <m:funcPr>
                        <m:ctrlPr>
                          <w:rPr>
                            <w:rFonts w:ascii="Cambria Math" w:hAnsi="Cambria Math" w:cstheme="minorHAnsi"/>
                            <w:iCs/>
                            <w:szCs w:val="18"/>
                          </w:rPr>
                        </m:ctrlPr>
                      </m:funcPr>
                      <m:fName>
                        <m:r>
                          <m:rPr>
                            <m:sty m:val="p"/>
                          </m:rPr>
                          <w:rPr>
                            <w:rFonts w:ascii="Cambria Math" w:hAnsi="Cambria Math" w:cstheme="minorHAnsi"/>
                            <w:szCs w:val="18"/>
                          </w:rPr>
                          <m:t>ln</m:t>
                        </m:r>
                      </m:fName>
                      <m:e>
                        <m:acc>
                          <m:accPr>
                            <m:ctrlPr>
                              <w:rPr>
                                <w:rFonts w:ascii="Cambria Math" w:hAnsi="Cambria Math" w:cstheme="minorHAnsi"/>
                                <w:i/>
                                <w:iCs/>
                                <w:szCs w:val="18"/>
                              </w:rPr>
                            </m:ctrlPr>
                          </m:accPr>
                          <m:e>
                            <m:sSub>
                              <m:sSubPr>
                                <m:ctrlPr>
                                  <w:rPr>
                                    <w:rFonts w:ascii="Cambria Math" w:hAnsi="Cambria Math" w:cstheme="minorHAnsi"/>
                                    <w:i/>
                                    <w:iCs/>
                                    <w:szCs w:val="18"/>
                                  </w:rPr>
                                </m:ctrlPr>
                              </m:sSubPr>
                              <m:e>
                                <m:r>
                                  <w:rPr>
                                    <w:rFonts w:ascii="Cambria Math" w:hAnsi="Cambria Math" w:cstheme="minorHAnsi"/>
                                    <w:szCs w:val="18"/>
                                  </w:rPr>
                                  <m:t>∅</m:t>
                                </m:r>
                              </m:e>
                              <m:sub>
                                <m:r>
                                  <w:rPr>
                                    <w:rFonts w:ascii="Cambria Math" w:hAnsi="Cambria Math" w:cstheme="minorHAnsi"/>
                                    <w:szCs w:val="18"/>
                                  </w:rPr>
                                  <m:t>i</m:t>
                                </m:r>
                              </m:sub>
                            </m:sSub>
                          </m:e>
                        </m:acc>
                      </m:e>
                    </m:func>
                  </m:fName>
                  <m:e>
                    <m:r>
                      <w:rPr>
                        <w:rFonts w:ascii="Cambria Math" w:hAnsi="Cambria Math" w:cstheme="minorHAnsi"/>
                        <w:szCs w:val="18"/>
                      </w:rPr>
                      <m:t>=</m:t>
                    </m:r>
                    <m:f>
                      <m:fPr>
                        <m:ctrlPr>
                          <w:rPr>
                            <w:rFonts w:ascii="Cambria Math" w:hAnsi="Cambria Math" w:cstheme="minorHAnsi"/>
                            <w:i/>
                            <w:iCs/>
                            <w:szCs w:val="18"/>
                          </w:rPr>
                        </m:ctrlPr>
                      </m:fPr>
                      <m:num>
                        <m:sSub>
                          <m:sSubPr>
                            <m:ctrlPr>
                              <w:rPr>
                                <w:rFonts w:ascii="Cambria Math" w:hAnsi="Cambria Math" w:cstheme="minorHAnsi"/>
                                <w:i/>
                                <w:iCs/>
                                <w:szCs w:val="18"/>
                              </w:rPr>
                            </m:ctrlPr>
                          </m:sSubPr>
                          <m:e>
                            <m:r>
                              <w:rPr>
                                <w:rFonts w:ascii="Cambria Math" w:hAnsi="Cambria Math" w:cstheme="minorHAnsi"/>
                                <w:szCs w:val="18"/>
                              </w:rPr>
                              <m:t>B</m:t>
                            </m:r>
                          </m:e>
                          <m:sub>
                            <m:r>
                              <w:rPr>
                                <w:rFonts w:ascii="Cambria Math" w:hAnsi="Cambria Math" w:cstheme="minorHAnsi"/>
                                <w:szCs w:val="18"/>
                              </w:rPr>
                              <m:t>i</m:t>
                            </m:r>
                          </m:sub>
                        </m:sSub>
                      </m:num>
                      <m:den>
                        <m:r>
                          <w:rPr>
                            <w:rFonts w:ascii="Cambria Math" w:hAnsi="Cambria Math" w:cstheme="minorHAnsi"/>
                            <w:szCs w:val="18"/>
                          </w:rPr>
                          <m:t>B</m:t>
                        </m:r>
                      </m:den>
                    </m:f>
                    <m:d>
                      <m:dPr>
                        <m:ctrlPr>
                          <w:rPr>
                            <w:rFonts w:ascii="Cambria Math" w:hAnsi="Cambria Math" w:cstheme="minorHAnsi"/>
                            <w:i/>
                            <w:iCs/>
                            <w:szCs w:val="18"/>
                          </w:rPr>
                        </m:ctrlPr>
                      </m:dPr>
                      <m:e>
                        <m:r>
                          <w:rPr>
                            <w:rFonts w:ascii="Cambria Math" w:hAnsi="Cambria Math" w:cstheme="minorHAnsi"/>
                            <w:szCs w:val="18"/>
                          </w:rPr>
                          <m:t>Z-1</m:t>
                        </m:r>
                      </m:e>
                    </m:d>
                    <m:r>
                      <w:rPr>
                        <w:rFonts w:ascii="Cambria Math" w:hAnsi="Cambria Math" w:cstheme="minorHAnsi"/>
                        <w:szCs w:val="18"/>
                      </w:rPr>
                      <m:t>-</m:t>
                    </m:r>
                    <m:func>
                      <m:funcPr>
                        <m:ctrlPr>
                          <w:rPr>
                            <w:rFonts w:ascii="Cambria Math" w:hAnsi="Cambria Math" w:cstheme="minorHAnsi"/>
                            <w:i/>
                            <w:iCs/>
                            <w:szCs w:val="18"/>
                          </w:rPr>
                        </m:ctrlPr>
                      </m:funcPr>
                      <m:fName>
                        <m:r>
                          <m:rPr>
                            <m:sty m:val="p"/>
                          </m:rPr>
                          <w:rPr>
                            <w:rFonts w:ascii="Cambria Math" w:hAnsi="Cambria Math" w:cstheme="minorHAnsi"/>
                            <w:szCs w:val="18"/>
                          </w:rPr>
                          <m:t>ln</m:t>
                        </m:r>
                      </m:fName>
                      <m:e>
                        <m:d>
                          <m:dPr>
                            <m:ctrlPr>
                              <w:rPr>
                                <w:rFonts w:ascii="Cambria Math" w:hAnsi="Cambria Math" w:cstheme="minorHAnsi"/>
                                <w:i/>
                                <w:iCs/>
                                <w:szCs w:val="18"/>
                              </w:rPr>
                            </m:ctrlPr>
                          </m:dPr>
                          <m:e>
                            <m:r>
                              <w:rPr>
                                <w:rFonts w:ascii="Cambria Math" w:hAnsi="Cambria Math" w:cstheme="minorHAnsi"/>
                                <w:szCs w:val="18"/>
                              </w:rPr>
                              <m:t>Z-B</m:t>
                            </m:r>
                          </m:e>
                        </m:d>
                      </m:e>
                    </m:func>
                    <m:r>
                      <w:rPr>
                        <w:rFonts w:ascii="Cambria Math" w:hAnsi="Cambria Math" w:cstheme="minorHAnsi"/>
                        <w:szCs w:val="18"/>
                      </w:rPr>
                      <m:t>+</m:t>
                    </m:r>
                    <m:f>
                      <m:fPr>
                        <m:ctrlPr>
                          <w:rPr>
                            <w:rFonts w:ascii="Cambria Math" w:hAnsi="Cambria Math" w:cstheme="minorHAnsi"/>
                            <w:i/>
                            <w:iCs/>
                            <w:szCs w:val="18"/>
                          </w:rPr>
                        </m:ctrlPr>
                      </m:fPr>
                      <m:num>
                        <m:r>
                          <w:rPr>
                            <w:rFonts w:ascii="Cambria Math" w:hAnsi="Cambria Math" w:cstheme="minorHAnsi"/>
                            <w:szCs w:val="18"/>
                          </w:rPr>
                          <m:t>A</m:t>
                        </m:r>
                      </m:num>
                      <m:den>
                        <m:r>
                          <w:rPr>
                            <w:rFonts w:ascii="Cambria Math" w:hAnsi="Cambria Math" w:cstheme="minorHAnsi"/>
                            <w:szCs w:val="18"/>
                          </w:rPr>
                          <m:t>2</m:t>
                        </m:r>
                        <m:rad>
                          <m:radPr>
                            <m:degHide m:val="1"/>
                            <m:ctrlPr>
                              <w:rPr>
                                <w:rFonts w:ascii="Cambria Math" w:hAnsi="Cambria Math" w:cstheme="minorHAnsi"/>
                                <w:i/>
                                <w:iCs/>
                                <w:szCs w:val="18"/>
                              </w:rPr>
                            </m:ctrlPr>
                          </m:radPr>
                          <m:deg/>
                          <m:e>
                            <m:r>
                              <w:rPr>
                                <w:rFonts w:ascii="Cambria Math" w:hAnsi="Cambria Math" w:cstheme="minorHAnsi"/>
                                <w:szCs w:val="18"/>
                              </w:rPr>
                              <m:t>2</m:t>
                            </m:r>
                          </m:e>
                        </m:rad>
                        <m:r>
                          <w:rPr>
                            <w:rFonts w:ascii="Cambria Math" w:hAnsi="Cambria Math" w:cstheme="minorHAnsi"/>
                            <w:szCs w:val="18"/>
                          </w:rPr>
                          <m:t>B</m:t>
                        </m:r>
                      </m:den>
                    </m:f>
                    <m:d>
                      <m:dPr>
                        <m:ctrlPr>
                          <w:rPr>
                            <w:rFonts w:ascii="Cambria Math" w:hAnsi="Cambria Math" w:cstheme="minorHAnsi"/>
                            <w:i/>
                            <w:iCs/>
                            <w:szCs w:val="18"/>
                          </w:rPr>
                        </m:ctrlPr>
                      </m:dPr>
                      <m:e>
                        <m:f>
                          <m:fPr>
                            <m:ctrlPr>
                              <w:rPr>
                                <w:rFonts w:ascii="Cambria Math" w:hAnsi="Cambria Math" w:cstheme="minorHAnsi"/>
                                <w:i/>
                                <w:iCs/>
                                <w:szCs w:val="18"/>
                              </w:rPr>
                            </m:ctrlPr>
                          </m:fPr>
                          <m:num>
                            <m:sSub>
                              <m:sSubPr>
                                <m:ctrlPr>
                                  <w:rPr>
                                    <w:rFonts w:ascii="Cambria Math" w:hAnsi="Cambria Math" w:cstheme="minorHAnsi"/>
                                    <w:i/>
                                    <w:iCs/>
                                    <w:szCs w:val="18"/>
                                  </w:rPr>
                                </m:ctrlPr>
                              </m:sSubPr>
                              <m:e>
                                <m:r>
                                  <w:rPr>
                                    <w:rFonts w:ascii="Cambria Math" w:hAnsi="Cambria Math" w:cstheme="minorHAnsi"/>
                                    <w:szCs w:val="18"/>
                                  </w:rPr>
                                  <m:t>B</m:t>
                                </m:r>
                              </m:e>
                              <m:sub>
                                <m:r>
                                  <w:rPr>
                                    <w:rFonts w:ascii="Cambria Math" w:hAnsi="Cambria Math" w:cstheme="minorHAnsi"/>
                                    <w:szCs w:val="18"/>
                                  </w:rPr>
                                  <m:t>i</m:t>
                                </m:r>
                              </m:sub>
                            </m:sSub>
                          </m:num>
                          <m:den>
                            <m:r>
                              <w:rPr>
                                <w:rFonts w:ascii="Cambria Math" w:hAnsi="Cambria Math" w:cstheme="minorHAnsi"/>
                                <w:szCs w:val="18"/>
                              </w:rPr>
                              <m:t>B</m:t>
                            </m:r>
                          </m:den>
                        </m:f>
                        <m:r>
                          <w:rPr>
                            <w:rFonts w:ascii="Cambria Math" w:hAnsi="Cambria Math" w:cstheme="minorHAnsi"/>
                            <w:szCs w:val="18"/>
                          </w:rPr>
                          <m:t>-2</m:t>
                        </m:r>
                        <m:f>
                          <m:fPr>
                            <m:ctrlPr>
                              <w:rPr>
                                <w:rFonts w:ascii="Cambria Math" w:hAnsi="Cambria Math" w:cstheme="minorHAnsi"/>
                                <w:i/>
                                <w:iCs/>
                                <w:szCs w:val="18"/>
                              </w:rPr>
                            </m:ctrlPr>
                          </m:fPr>
                          <m:num>
                            <m:nary>
                              <m:naryPr>
                                <m:chr m:val="∑"/>
                                <m:supHide m:val="1"/>
                                <m:ctrlPr>
                                  <w:rPr>
                                    <w:rFonts w:ascii="Cambria Math" w:hAnsi="Cambria Math" w:cstheme="minorHAnsi"/>
                                    <w:i/>
                                    <w:iCs/>
                                    <w:szCs w:val="18"/>
                                  </w:rPr>
                                </m:ctrlPr>
                              </m:naryPr>
                              <m:sub>
                                <m:r>
                                  <w:rPr>
                                    <w:rFonts w:ascii="Cambria Math" w:hAnsi="Cambria Math" w:cstheme="minorHAnsi"/>
                                    <w:szCs w:val="18"/>
                                  </w:rPr>
                                  <m:t>j</m:t>
                                </m:r>
                              </m:sub>
                              <m:sup/>
                              <m:e>
                                <m:sSub>
                                  <m:sSubPr>
                                    <m:ctrlPr>
                                      <w:rPr>
                                        <w:rFonts w:ascii="Cambria Math" w:hAnsi="Cambria Math" w:cstheme="minorHAnsi"/>
                                        <w:i/>
                                        <w:iCs/>
                                        <w:szCs w:val="18"/>
                                      </w:rPr>
                                    </m:ctrlPr>
                                  </m:sSubPr>
                                  <m:e>
                                    <m:r>
                                      <w:rPr>
                                        <w:rFonts w:ascii="Cambria Math" w:hAnsi="Cambria Math" w:cstheme="minorHAnsi"/>
                                        <w:szCs w:val="18"/>
                                      </w:rPr>
                                      <m:t>y</m:t>
                                    </m:r>
                                  </m:e>
                                  <m:sub>
                                    <m:r>
                                      <w:rPr>
                                        <w:rFonts w:ascii="Cambria Math" w:hAnsi="Cambria Math" w:cstheme="minorHAnsi"/>
                                        <w:szCs w:val="18"/>
                                      </w:rPr>
                                      <m:t>i</m:t>
                                    </m:r>
                                  </m:sub>
                                </m:sSub>
                                <m:rad>
                                  <m:radPr>
                                    <m:degHide m:val="1"/>
                                    <m:ctrlPr>
                                      <w:rPr>
                                        <w:rFonts w:ascii="Cambria Math" w:hAnsi="Cambria Math" w:cstheme="minorHAnsi"/>
                                        <w:i/>
                                        <w:iCs/>
                                        <w:szCs w:val="18"/>
                                      </w:rPr>
                                    </m:ctrlPr>
                                  </m:radPr>
                                  <m:deg/>
                                  <m:e>
                                    <m:sSub>
                                      <m:sSubPr>
                                        <m:ctrlPr>
                                          <w:rPr>
                                            <w:rFonts w:ascii="Cambria Math" w:hAnsi="Cambria Math" w:cstheme="minorHAnsi"/>
                                            <w:i/>
                                            <w:iCs/>
                                            <w:szCs w:val="18"/>
                                          </w:rPr>
                                        </m:ctrlPr>
                                      </m:sSubPr>
                                      <m:e>
                                        <m:r>
                                          <w:rPr>
                                            <w:rFonts w:ascii="Cambria Math" w:hAnsi="Cambria Math" w:cstheme="minorHAnsi"/>
                                            <w:szCs w:val="18"/>
                                          </w:rPr>
                                          <m:t>a</m:t>
                                        </m:r>
                                      </m:e>
                                      <m:sub>
                                        <m:r>
                                          <w:rPr>
                                            <w:rFonts w:ascii="Cambria Math" w:hAnsi="Cambria Math" w:cstheme="minorHAnsi"/>
                                            <w:szCs w:val="18"/>
                                          </w:rPr>
                                          <m:t>i</m:t>
                                        </m:r>
                                      </m:sub>
                                    </m:sSub>
                                    <m:sSub>
                                      <m:sSubPr>
                                        <m:ctrlPr>
                                          <w:rPr>
                                            <w:rFonts w:ascii="Cambria Math" w:hAnsi="Cambria Math" w:cstheme="minorHAnsi"/>
                                            <w:i/>
                                            <w:iCs/>
                                            <w:szCs w:val="18"/>
                                          </w:rPr>
                                        </m:ctrlPr>
                                      </m:sSubPr>
                                      <m:e>
                                        <m:r>
                                          <w:rPr>
                                            <w:rFonts w:ascii="Cambria Math" w:hAnsi="Cambria Math" w:cstheme="minorHAnsi"/>
                                            <w:szCs w:val="18"/>
                                          </w:rPr>
                                          <m:t>a</m:t>
                                        </m:r>
                                      </m:e>
                                      <m:sub>
                                        <m:r>
                                          <w:rPr>
                                            <w:rFonts w:ascii="Cambria Math" w:hAnsi="Cambria Math" w:cstheme="minorHAnsi"/>
                                            <w:szCs w:val="18"/>
                                          </w:rPr>
                                          <m:t>j</m:t>
                                        </m:r>
                                      </m:sub>
                                    </m:sSub>
                                  </m:e>
                                </m:rad>
                              </m:e>
                            </m:nary>
                          </m:num>
                          <m:den>
                            <m:sSub>
                              <m:sSubPr>
                                <m:ctrlPr>
                                  <w:rPr>
                                    <w:rFonts w:ascii="Cambria Math" w:hAnsi="Cambria Math" w:cstheme="minorHAnsi"/>
                                    <w:i/>
                                    <w:iCs/>
                                    <w:szCs w:val="18"/>
                                  </w:rPr>
                                </m:ctrlPr>
                              </m:sSubPr>
                              <m:e>
                                <m:r>
                                  <w:rPr>
                                    <w:rFonts w:ascii="Cambria Math" w:hAnsi="Cambria Math" w:cstheme="minorHAnsi"/>
                                    <w:szCs w:val="18"/>
                                  </w:rPr>
                                  <m:t>a</m:t>
                                </m:r>
                              </m:e>
                              <m:sub>
                                <m:r>
                                  <w:rPr>
                                    <w:rFonts w:ascii="Cambria Math" w:hAnsi="Cambria Math" w:cstheme="minorHAnsi"/>
                                    <w:szCs w:val="18"/>
                                  </w:rPr>
                                  <m:t>m</m:t>
                                </m:r>
                              </m:sub>
                            </m:sSub>
                          </m:den>
                        </m:f>
                      </m:e>
                    </m:d>
                    <m:func>
                      <m:funcPr>
                        <m:ctrlPr>
                          <w:rPr>
                            <w:rFonts w:ascii="Cambria Math" w:hAnsi="Cambria Math" w:cstheme="minorHAnsi"/>
                            <w:i/>
                            <w:iCs/>
                            <w:szCs w:val="18"/>
                          </w:rPr>
                        </m:ctrlPr>
                      </m:funcPr>
                      <m:fName>
                        <m:r>
                          <m:rPr>
                            <m:sty m:val="p"/>
                          </m:rPr>
                          <w:rPr>
                            <w:rFonts w:ascii="Cambria Math" w:hAnsi="Cambria Math" w:cstheme="minorHAnsi"/>
                            <w:szCs w:val="18"/>
                          </w:rPr>
                          <m:t>ln</m:t>
                        </m:r>
                      </m:fName>
                      <m:e>
                        <m:d>
                          <m:dPr>
                            <m:ctrlPr>
                              <w:rPr>
                                <w:rFonts w:ascii="Cambria Math" w:hAnsi="Cambria Math" w:cstheme="minorHAnsi"/>
                                <w:i/>
                                <w:iCs/>
                                <w:sz w:val="24"/>
                                <w:szCs w:val="18"/>
                              </w:rPr>
                            </m:ctrlPr>
                          </m:dPr>
                          <m:e>
                            <m:f>
                              <m:fPr>
                                <m:ctrlPr>
                                  <w:rPr>
                                    <w:rFonts w:ascii="Cambria Math" w:hAnsi="Cambria Math" w:cstheme="minorHAnsi"/>
                                    <w:i/>
                                    <w:iCs/>
                                    <w:sz w:val="24"/>
                                    <w:szCs w:val="18"/>
                                  </w:rPr>
                                </m:ctrlPr>
                              </m:fPr>
                              <m:num>
                                <m:r>
                                  <w:rPr>
                                    <w:rFonts w:ascii="Cambria Math" w:hAnsi="Cambria Math" w:cstheme="minorHAnsi"/>
                                    <w:szCs w:val="18"/>
                                  </w:rPr>
                                  <m:t>z+(1+</m:t>
                                </m:r>
                                <m:rad>
                                  <m:radPr>
                                    <m:degHide m:val="1"/>
                                    <m:ctrlPr>
                                      <w:rPr>
                                        <w:rFonts w:ascii="Cambria Math" w:hAnsi="Cambria Math" w:cstheme="minorHAnsi"/>
                                        <w:i/>
                                        <w:iCs/>
                                        <w:sz w:val="24"/>
                                        <w:szCs w:val="18"/>
                                      </w:rPr>
                                    </m:ctrlPr>
                                  </m:radPr>
                                  <m:deg/>
                                  <m:e>
                                    <m:r>
                                      <w:rPr>
                                        <w:rFonts w:ascii="Cambria Math" w:hAnsi="Cambria Math" w:cstheme="minorHAnsi"/>
                                        <w:szCs w:val="18"/>
                                      </w:rPr>
                                      <m:t>2</m:t>
                                    </m:r>
                                  </m:e>
                                </m:rad>
                                <m:r>
                                  <w:rPr>
                                    <w:rFonts w:ascii="Cambria Math" w:hAnsi="Cambria Math" w:cstheme="minorHAnsi"/>
                                    <w:szCs w:val="18"/>
                                  </w:rPr>
                                  <m:t>)B</m:t>
                                </m:r>
                              </m:num>
                              <m:den>
                                <m:r>
                                  <w:rPr>
                                    <w:rFonts w:ascii="Cambria Math" w:hAnsi="Cambria Math" w:cstheme="minorHAnsi"/>
                                    <w:szCs w:val="18"/>
                                  </w:rPr>
                                  <m:t>z+(1-</m:t>
                                </m:r>
                                <m:rad>
                                  <m:radPr>
                                    <m:degHide m:val="1"/>
                                    <m:ctrlPr>
                                      <w:rPr>
                                        <w:rFonts w:ascii="Cambria Math" w:hAnsi="Cambria Math" w:cstheme="minorHAnsi"/>
                                        <w:i/>
                                        <w:iCs/>
                                        <w:sz w:val="24"/>
                                        <w:szCs w:val="18"/>
                                      </w:rPr>
                                    </m:ctrlPr>
                                  </m:radPr>
                                  <m:deg/>
                                  <m:e>
                                    <m:r>
                                      <w:rPr>
                                        <w:rFonts w:ascii="Cambria Math" w:hAnsi="Cambria Math" w:cstheme="minorHAnsi"/>
                                        <w:szCs w:val="18"/>
                                      </w:rPr>
                                      <m:t>2</m:t>
                                    </m:r>
                                  </m:e>
                                </m:rad>
                                <m:r>
                                  <w:rPr>
                                    <w:rFonts w:ascii="Cambria Math" w:hAnsi="Cambria Math" w:cstheme="minorHAnsi"/>
                                    <w:szCs w:val="18"/>
                                  </w:rPr>
                                  <m:t>)B</m:t>
                                </m:r>
                              </m:den>
                            </m:f>
                          </m:e>
                        </m:d>
                      </m:e>
                    </m:func>
                  </m:e>
                </m:func>
              </m:oMath>
            </m:oMathPara>
          </w:p>
        </w:tc>
        <w:tc>
          <w:tcPr>
            <w:tcW w:w="435" w:type="dxa"/>
            <w:vAlign w:val="center"/>
          </w:tcPr>
          <w:p w14:paraId="0DA6F055" w14:textId="77777777" w:rsidR="00B87A10" w:rsidRPr="00982184" w:rsidRDefault="00B87A10" w:rsidP="00A50873">
            <w:pPr>
              <w:jc w:val="right"/>
              <w:rPr>
                <w:rFonts w:cstheme="minorHAnsi"/>
                <w:szCs w:val="18"/>
              </w:rPr>
            </w:pPr>
            <w:r w:rsidRPr="00982184">
              <w:rPr>
                <w:rFonts w:cstheme="minorHAnsi"/>
                <w:szCs w:val="18"/>
              </w:rPr>
              <w:t>(</w:t>
            </w:r>
            <w:r w:rsidR="00037A18">
              <w:rPr>
                <w:rFonts w:cstheme="minorHAnsi"/>
                <w:szCs w:val="18"/>
              </w:rPr>
              <w:t>3</w:t>
            </w:r>
            <w:r w:rsidRPr="00982184">
              <w:rPr>
                <w:rFonts w:cstheme="minorHAnsi"/>
                <w:szCs w:val="18"/>
              </w:rPr>
              <w:t>)</w:t>
            </w:r>
          </w:p>
        </w:tc>
      </w:tr>
      <w:tr w:rsidR="006B4083" w:rsidRPr="00982184" w14:paraId="6D8EE531" w14:textId="77777777" w:rsidTr="002209D2">
        <w:trPr>
          <w:trHeight w:val="208"/>
        </w:trPr>
        <w:tc>
          <w:tcPr>
            <w:tcW w:w="8352" w:type="dxa"/>
          </w:tcPr>
          <w:p w14:paraId="421ACAA5" w14:textId="77777777" w:rsidR="006B4083" w:rsidRDefault="006B4083" w:rsidP="00A50873">
            <w:pPr>
              <w:rPr>
                <w:rFonts w:cs="Arial"/>
                <w:iCs/>
                <w:szCs w:val="18"/>
              </w:rPr>
            </w:pPr>
          </w:p>
        </w:tc>
        <w:tc>
          <w:tcPr>
            <w:tcW w:w="435" w:type="dxa"/>
            <w:vAlign w:val="center"/>
          </w:tcPr>
          <w:p w14:paraId="18DCE6CC" w14:textId="77777777" w:rsidR="006B4083" w:rsidRPr="00982184" w:rsidRDefault="006B4083" w:rsidP="00A50873">
            <w:pPr>
              <w:jc w:val="right"/>
              <w:rPr>
                <w:rFonts w:cstheme="minorHAnsi"/>
                <w:szCs w:val="18"/>
              </w:rPr>
            </w:pPr>
          </w:p>
        </w:tc>
      </w:tr>
    </w:tbl>
    <w:p w14:paraId="1DFB74C6" w14:textId="77777777" w:rsidR="00B87A10" w:rsidRDefault="00B87A10" w:rsidP="00B87A10">
      <w:pPr>
        <w:pStyle w:val="CETBodytext"/>
        <w:rPr>
          <w:rFonts w:eastAsiaTheme="minorHAnsi" w:cs="Arial"/>
          <w:szCs w:val="18"/>
        </w:rPr>
      </w:pPr>
      <w:r w:rsidRPr="00982184">
        <w:rPr>
          <w:rFonts w:eastAsiaTheme="minorHAnsi" w:cs="Arial"/>
          <w:szCs w:val="18"/>
        </w:rPr>
        <w:t>The thermodynamic models in this work will be solved by the GRG (Generalized Reduced Gradient) search method, using the CONOPT</w:t>
      </w:r>
      <w:r>
        <w:rPr>
          <w:rFonts w:eastAsiaTheme="minorHAnsi" w:cs="Arial"/>
          <w:szCs w:val="18"/>
        </w:rPr>
        <w:t>4</w:t>
      </w:r>
      <w:r w:rsidRPr="00982184">
        <w:rPr>
          <w:rFonts w:eastAsiaTheme="minorHAnsi" w:cs="Arial"/>
          <w:szCs w:val="18"/>
        </w:rPr>
        <w:t xml:space="preserve"> solver, in the GAMS software. The microalgae </w:t>
      </w:r>
      <w:r w:rsidRPr="00982184">
        <w:rPr>
          <w:rFonts w:eastAsiaTheme="minorHAnsi" w:cs="Arial"/>
          <w:i/>
          <w:szCs w:val="18"/>
        </w:rPr>
        <w:t>black liquor</w:t>
      </w:r>
      <w:r w:rsidRPr="00982184">
        <w:rPr>
          <w:rFonts w:eastAsiaTheme="minorHAnsi" w:cs="Arial"/>
          <w:szCs w:val="18"/>
        </w:rPr>
        <w:t xml:space="preserve"> was written as a pseudocomponent (</w:t>
      </w:r>
      <w:r w:rsidRPr="00982184">
        <w:rPr>
          <w:rFonts w:eastAsiaTheme="minorHAnsi" w:cs="Arial"/>
          <w:i/>
          <w:iCs/>
          <w:szCs w:val="18"/>
        </w:rPr>
        <w:t>C</w:t>
      </w:r>
      <w:r w:rsidRPr="00982184">
        <w:rPr>
          <w:rFonts w:eastAsiaTheme="minorHAnsi" w:cs="Arial"/>
          <w:i/>
          <w:iCs/>
          <w:szCs w:val="18"/>
          <w:vertAlign w:val="subscript"/>
        </w:rPr>
        <w:t>6</w:t>
      </w:r>
      <w:r w:rsidRPr="00982184">
        <w:rPr>
          <w:rFonts w:eastAsiaTheme="minorHAnsi" w:cs="Arial"/>
          <w:i/>
          <w:iCs/>
          <w:szCs w:val="18"/>
        </w:rPr>
        <w:t>H</w:t>
      </w:r>
      <w:r w:rsidRPr="00982184">
        <w:rPr>
          <w:rFonts w:eastAsiaTheme="minorHAnsi" w:cs="Arial"/>
          <w:i/>
          <w:iCs/>
          <w:szCs w:val="18"/>
          <w:vertAlign w:val="subscript"/>
        </w:rPr>
        <w:t>10</w:t>
      </w:r>
      <w:r w:rsidRPr="00982184">
        <w:rPr>
          <w:rFonts w:eastAsiaTheme="minorHAnsi" w:cs="Arial"/>
          <w:i/>
          <w:iCs/>
          <w:szCs w:val="18"/>
        </w:rPr>
        <w:t>O</w:t>
      </w:r>
      <w:r w:rsidRPr="00982184">
        <w:rPr>
          <w:rFonts w:eastAsiaTheme="minorHAnsi" w:cs="Arial"/>
          <w:i/>
          <w:iCs/>
          <w:szCs w:val="18"/>
          <w:vertAlign w:val="subscript"/>
        </w:rPr>
        <w:t>6</w:t>
      </w:r>
      <w:r w:rsidRPr="00982184">
        <w:rPr>
          <w:rFonts w:eastAsiaTheme="minorHAnsi" w:cs="Arial"/>
          <w:szCs w:val="18"/>
        </w:rPr>
        <w:t>). Throughout the simulations, formations of 15 possible components were taken, these are</w:t>
      </w:r>
      <w:r>
        <w:rPr>
          <w:rFonts w:eastAsiaTheme="minorHAnsi" w:cs="Arial"/>
          <w:szCs w:val="18"/>
        </w:rPr>
        <w:t>:</w:t>
      </w:r>
      <w:r w:rsidRPr="00982184">
        <w:rPr>
          <w:rFonts w:eastAsiaTheme="minorHAnsi" w:cs="Arial"/>
          <w:szCs w:val="18"/>
        </w:rPr>
        <w:t xml:space="preserve"> </w:t>
      </w:r>
      <w:r w:rsidRPr="00982184">
        <w:rPr>
          <w:rFonts w:eastAsiaTheme="minorHAnsi" w:cs="Arial"/>
          <w:i/>
          <w:szCs w:val="18"/>
        </w:rPr>
        <w:t>C</w:t>
      </w:r>
      <w:r w:rsidRPr="00982184">
        <w:rPr>
          <w:rFonts w:eastAsiaTheme="minorHAnsi" w:cs="Arial"/>
          <w:i/>
          <w:szCs w:val="18"/>
          <w:vertAlign w:val="subscript"/>
        </w:rPr>
        <w:t>3</w:t>
      </w:r>
      <w:r w:rsidRPr="00982184">
        <w:rPr>
          <w:rFonts w:eastAsiaTheme="minorHAnsi" w:cs="Arial"/>
          <w:i/>
          <w:szCs w:val="18"/>
        </w:rPr>
        <w:t>H</w:t>
      </w:r>
      <w:r w:rsidRPr="00982184">
        <w:rPr>
          <w:rFonts w:eastAsiaTheme="minorHAnsi" w:cs="Arial"/>
          <w:i/>
          <w:szCs w:val="18"/>
          <w:vertAlign w:val="subscript"/>
        </w:rPr>
        <w:t>8</w:t>
      </w:r>
      <w:r w:rsidRPr="00982184">
        <w:rPr>
          <w:rFonts w:eastAsiaTheme="minorHAnsi" w:cs="Arial"/>
          <w:i/>
          <w:szCs w:val="18"/>
        </w:rPr>
        <w:t>O</w:t>
      </w:r>
      <w:r w:rsidRPr="00982184">
        <w:rPr>
          <w:rFonts w:eastAsiaTheme="minorHAnsi" w:cs="Arial"/>
          <w:i/>
          <w:szCs w:val="18"/>
          <w:vertAlign w:val="subscript"/>
        </w:rPr>
        <w:t>3</w:t>
      </w:r>
      <w:r w:rsidRPr="00982184">
        <w:rPr>
          <w:rFonts w:eastAsiaTheme="minorHAnsi" w:cs="Arial"/>
          <w:i/>
          <w:szCs w:val="18"/>
        </w:rPr>
        <w:t>, O</w:t>
      </w:r>
      <w:r w:rsidRPr="00982184">
        <w:rPr>
          <w:rFonts w:eastAsiaTheme="minorHAnsi" w:cs="Arial"/>
          <w:i/>
          <w:szCs w:val="18"/>
          <w:vertAlign w:val="subscript"/>
        </w:rPr>
        <w:t>2</w:t>
      </w:r>
      <w:r w:rsidRPr="00982184">
        <w:rPr>
          <w:rFonts w:eastAsiaTheme="minorHAnsi" w:cs="Arial"/>
          <w:i/>
          <w:szCs w:val="18"/>
        </w:rPr>
        <w:t>, H</w:t>
      </w:r>
      <w:r w:rsidRPr="00982184">
        <w:rPr>
          <w:rFonts w:eastAsiaTheme="minorHAnsi" w:cs="Arial"/>
          <w:i/>
          <w:szCs w:val="18"/>
          <w:vertAlign w:val="subscript"/>
        </w:rPr>
        <w:t>2</w:t>
      </w:r>
      <w:r w:rsidRPr="00982184">
        <w:rPr>
          <w:rFonts w:eastAsiaTheme="minorHAnsi" w:cs="Arial"/>
          <w:i/>
          <w:szCs w:val="18"/>
        </w:rPr>
        <w:t>, N</w:t>
      </w:r>
      <w:r w:rsidRPr="00982184">
        <w:rPr>
          <w:rFonts w:eastAsiaTheme="minorHAnsi" w:cs="Arial"/>
          <w:i/>
          <w:szCs w:val="18"/>
          <w:vertAlign w:val="subscript"/>
        </w:rPr>
        <w:t>2</w:t>
      </w:r>
      <w:r w:rsidRPr="00982184">
        <w:rPr>
          <w:rFonts w:eastAsiaTheme="minorHAnsi" w:cs="Arial"/>
          <w:i/>
          <w:szCs w:val="18"/>
        </w:rPr>
        <w:t>, CH</w:t>
      </w:r>
      <w:r w:rsidRPr="00982184">
        <w:rPr>
          <w:rFonts w:eastAsiaTheme="minorHAnsi" w:cs="Arial"/>
          <w:i/>
          <w:szCs w:val="18"/>
          <w:vertAlign w:val="subscript"/>
        </w:rPr>
        <w:t>2</w:t>
      </w:r>
      <w:r w:rsidRPr="00982184">
        <w:rPr>
          <w:rFonts w:eastAsiaTheme="minorHAnsi" w:cs="Arial"/>
          <w:i/>
          <w:szCs w:val="18"/>
        </w:rPr>
        <w:t>O</w:t>
      </w:r>
      <w:r w:rsidRPr="00982184">
        <w:rPr>
          <w:rFonts w:eastAsiaTheme="minorHAnsi" w:cs="Arial"/>
          <w:i/>
          <w:szCs w:val="18"/>
          <w:vertAlign w:val="subscript"/>
        </w:rPr>
        <w:t>2</w:t>
      </w:r>
      <w:r w:rsidRPr="00982184">
        <w:rPr>
          <w:rFonts w:eastAsiaTheme="minorHAnsi" w:cs="Arial"/>
          <w:i/>
          <w:szCs w:val="18"/>
        </w:rPr>
        <w:t>, H</w:t>
      </w:r>
      <w:r w:rsidRPr="00982184">
        <w:rPr>
          <w:rFonts w:eastAsiaTheme="minorHAnsi" w:cs="Arial"/>
          <w:i/>
          <w:szCs w:val="18"/>
          <w:vertAlign w:val="subscript"/>
        </w:rPr>
        <w:t>2</w:t>
      </w:r>
      <w:r w:rsidRPr="00982184">
        <w:rPr>
          <w:rFonts w:eastAsiaTheme="minorHAnsi" w:cs="Arial"/>
          <w:i/>
          <w:szCs w:val="18"/>
        </w:rPr>
        <w:t>O, CH</w:t>
      </w:r>
      <w:r w:rsidRPr="00982184">
        <w:rPr>
          <w:rFonts w:eastAsiaTheme="minorHAnsi" w:cs="Arial"/>
          <w:i/>
          <w:szCs w:val="18"/>
          <w:vertAlign w:val="subscript"/>
        </w:rPr>
        <w:t>3</w:t>
      </w:r>
      <w:r w:rsidRPr="00982184">
        <w:rPr>
          <w:rFonts w:eastAsiaTheme="minorHAnsi" w:cs="Arial"/>
          <w:i/>
          <w:szCs w:val="18"/>
        </w:rPr>
        <w:t>COOH, CH</w:t>
      </w:r>
      <w:r w:rsidRPr="00982184">
        <w:rPr>
          <w:rFonts w:eastAsiaTheme="minorHAnsi" w:cs="Arial"/>
          <w:i/>
          <w:szCs w:val="18"/>
          <w:vertAlign w:val="subscript"/>
        </w:rPr>
        <w:t>4</w:t>
      </w:r>
      <w:r w:rsidRPr="00982184">
        <w:rPr>
          <w:rFonts w:eastAsiaTheme="minorHAnsi" w:cs="Arial"/>
          <w:i/>
          <w:szCs w:val="18"/>
        </w:rPr>
        <w:t>, CH</w:t>
      </w:r>
      <w:r w:rsidRPr="00982184">
        <w:rPr>
          <w:rFonts w:eastAsiaTheme="minorHAnsi" w:cs="Arial"/>
          <w:i/>
          <w:szCs w:val="18"/>
          <w:vertAlign w:val="subscript"/>
        </w:rPr>
        <w:t>3</w:t>
      </w:r>
      <w:r w:rsidRPr="00982184">
        <w:rPr>
          <w:rFonts w:eastAsiaTheme="minorHAnsi" w:cs="Arial"/>
          <w:i/>
          <w:szCs w:val="18"/>
        </w:rPr>
        <w:t>OH, C</w:t>
      </w:r>
      <w:r w:rsidRPr="00982184">
        <w:rPr>
          <w:rFonts w:eastAsiaTheme="minorHAnsi" w:cs="Arial"/>
          <w:i/>
          <w:szCs w:val="18"/>
          <w:vertAlign w:val="subscript"/>
        </w:rPr>
        <w:t>2</w:t>
      </w:r>
      <w:r w:rsidRPr="00982184">
        <w:rPr>
          <w:rFonts w:eastAsiaTheme="minorHAnsi" w:cs="Arial"/>
          <w:i/>
          <w:szCs w:val="18"/>
        </w:rPr>
        <w:t>H</w:t>
      </w:r>
      <w:r w:rsidRPr="00982184">
        <w:rPr>
          <w:rFonts w:eastAsiaTheme="minorHAnsi" w:cs="Arial"/>
          <w:i/>
          <w:szCs w:val="18"/>
          <w:vertAlign w:val="subscript"/>
        </w:rPr>
        <w:t>6</w:t>
      </w:r>
      <w:r w:rsidRPr="00982184">
        <w:rPr>
          <w:rFonts w:eastAsiaTheme="minorHAnsi" w:cs="Arial"/>
          <w:i/>
          <w:szCs w:val="18"/>
        </w:rPr>
        <w:t>, C</w:t>
      </w:r>
      <w:r w:rsidRPr="00982184">
        <w:rPr>
          <w:rFonts w:eastAsiaTheme="minorHAnsi" w:cs="Arial"/>
          <w:i/>
          <w:szCs w:val="18"/>
          <w:vertAlign w:val="subscript"/>
        </w:rPr>
        <w:t>2</w:t>
      </w:r>
      <w:r w:rsidRPr="00982184">
        <w:rPr>
          <w:rFonts w:eastAsiaTheme="minorHAnsi" w:cs="Arial"/>
          <w:i/>
          <w:szCs w:val="18"/>
        </w:rPr>
        <w:t>H</w:t>
      </w:r>
      <w:r w:rsidRPr="00982184">
        <w:rPr>
          <w:rFonts w:eastAsiaTheme="minorHAnsi" w:cs="Arial"/>
          <w:i/>
          <w:szCs w:val="18"/>
          <w:vertAlign w:val="subscript"/>
        </w:rPr>
        <w:t>6</w:t>
      </w:r>
      <w:r w:rsidRPr="00982184">
        <w:rPr>
          <w:rFonts w:eastAsiaTheme="minorHAnsi" w:cs="Arial"/>
          <w:i/>
          <w:szCs w:val="18"/>
        </w:rPr>
        <w:t>O, C</w:t>
      </w:r>
      <w:r w:rsidRPr="00982184">
        <w:rPr>
          <w:rFonts w:eastAsiaTheme="minorHAnsi" w:cs="Arial"/>
          <w:i/>
          <w:szCs w:val="18"/>
          <w:vertAlign w:val="subscript"/>
        </w:rPr>
        <w:t>3</w:t>
      </w:r>
      <w:r w:rsidRPr="00982184">
        <w:rPr>
          <w:rFonts w:eastAsiaTheme="minorHAnsi" w:cs="Arial"/>
          <w:i/>
          <w:szCs w:val="18"/>
        </w:rPr>
        <w:t>H</w:t>
      </w:r>
      <w:r w:rsidRPr="00982184">
        <w:rPr>
          <w:rFonts w:eastAsiaTheme="minorHAnsi" w:cs="Arial"/>
          <w:i/>
          <w:szCs w:val="18"/>
          <w:vertAlign w:val="subscript"/>
        </w:rPr>
        <w:t>8</w:t>
      </w:r>
      <w:r w:rsidRPr="00982184">
        <w:rPr>
          <w:rFonts w:eastAsiaTheme="minorHAnsi" w:cs="Arial"/>
          <w:i/>
          <w:szCs w:val="18"/>
        </w:rPr>
        <w:t>, C</w:t>
      </w:r>
      <w:r w:rsidRPr="00982184">
        <w:rPr>
          <w:rFonts w:eastAsiaTheme="minorHAnsi" w:cs="Arial"/>
          <w:i/>
          <w:szCs w:val="18"/>
          <w:vertAlign w:val="subscript"/>
        </w:rPr>
        <w:t>4</w:t>
      </w:r>
      <w:r w:rsidRPr="00982184">
        <w:rPr>
          <w:rFonts w:eastAsiaTheme="minorHAnsi" w:cs="Arial"/>
          <w:i/>
          <w:szCs w:val="18"/>
        </w:rPr>
        <w:t>H</w:t>
      </w:r>
      <w:r w:rsidRPr="00982184">
        <w:rPr>
          <w:rFonts w:eastAsiaTheme="minorHAnsi" w:cs="Arial"/>
          <w:i/>
          <w:szCs w:val="18"/>
          <w:vertAlign w:val="subscript"/>
        </w:rPr>
        <w:t>10</w:t>
      </w:r>
      <w:r w:rsidRPr="00982184">
        <w:rPr>
          <w:rFonts w:eastAsiaTheme="minorHAnsi" w:cs="Arial"/>
          <w:i/>
          <w:szCs w:val="18"/>
        </w:rPr>
        <w:t>, CO and CO</w:t>
      </w:r>
      <w:r w:rsidRPr="00982184">
        <w:rPr>
          <w:rFonts w:eastAsiaTheme="minorHAnsi" w:cs="Arial"/>
          <w:i/>
          <w:szCs w:val="18"/>
          <w:vertAlign w:val="subscript"/>
        </w:rPr>
        <w:t>2</w:t>
      </w:r>
      <w:r w:rsidRPr="00982184">
        <w:rPr>
          <w:rFonts w:eastAsiaTheme="minorHAnsi" w:cs="Arial"/>
          <w:szCs w:val="18"/>
        </w:rPr>
        <w:t xml:space="preserve">. </w:t>
      </w:r>
      <w:r w:rsidRPr="00982184">
        <w:rPr>
          <w:rFonts w:cstheme="minorHAnsi"/>
          <w:szCs w:val="18"/>
        </w:rPr>
        <w:t>This selection is based on findings from the literature, indicating that these components are frequently observed in significant proportions during gasification processes involving biomass from various sources</w:t>
      </w:r>
      <w:r>
        <w:rPr>
          <w:rFonts w:cstheme="minorHAnsi"/>
          <w:szCs w:val="18"/>
        </w:rPr>
        <w:t xml:space="preserve"> (</w:t>
      </w:r>
      <w:r w:rsidR="006F226C">
        <w:rPr>
          <w:rFonts w:cstheme="minorHAnsi"/>
          <w:szCs w:val="18"/>
        </w:rPr>
        <w:t xml:space="preserve">Gomes et al., 2022, Mitoura et al., 2021 and </w:t>
      </w:r>
      <w:r>
        <w:rPr>
          <w:rFonts w:cstheme="minorHAnsi"/>
          <w:szCs w:val="18"/>
        </w:rPr>
        <w:t>Yan et al., 2006)</w:t>
      </w:r>
      <w:r>
        <w:rPr>
          <w:rFonts w:cstheme="minorHAnsi"/>
          <w:color w:val="000000"/>
          <w:szCs w:val="18"/>
        </w:rPr>
        <w:t xml:space="preserve"> all thermodynamic properties are obtained from literature (Poling et al., 2001)</w:t>
      </w:r>
      <w:r w:rsidRPr="00982184">
        <w:rPr>
          <w:rFonts w:cstheme="minorHAnsi"/>
          <w:szCs w:val="18"/>
        </w:rPr>
        <w:t>.</w:t>
      </w:r>
      <w:r w:rsidRPr="00982184">
        <w:rPr>
          <w:rFonts w:eastAsiaTheme="minorHAnsi" w:cs="Arial"/>
          <w:szCs w:val="18"/>
        </w:rPr>
        <w:t xml:space="preserve"> The black liquor</w:t>
      </w:r>
      <w:r w:rsidRPr="00982184">
        <w:rPr>
          <w:rFonts w:eastAsiaTheme="minorHAnsi" w:cs="Arial"/>
          <w:i/>
          <w:szCs w:val="18"/>
        </w:rPr>
        <w:t xml:space="preserve"> SCWG </w:t>
      </w:r>
      <w:r w:rsidRPr="00982184">
        <w:rPr>
          <w:rFonts w:eastAsiaTheme="minorHAnsi" w:cs="Arial"/>
          <w:szCs w:val="18"/>
        </w:rPr>
        <w:t xml:space="preserve">will be verified with the aim of maximizing hydrogen formation throughout the process. The profiles of carbon monoxide, carbon dioxide and methane formation throughout the process will also </w:t>
      </w:r>
      <w:r>
        <w:rPr>
          <w:rFonts w:eastAsiaTheme="minorHAnsi" w:cs="Arial"/>
          <w:szCs w:val="18"/>
        </w:rPr>
        <w:t>be studied</w:t>
      </w:r>
      <w:r w:rsidRPr="00982184">
        <w:rPr>
          <w:rFonts w:eastAsiaTheme="minorHAnsi" w:cs="Arial"/>
          <w:szCs w:val="18"/>
        </w:rPr>
        <w:t>.</w:t>
      </w:r>
    </w:p>
    <w:p w14:paraId="52BBA007" w14:textId="77777777" w:rsidR="00513A19" w:rsidRDefault="00513A19" w:rsidP="00206228">
      <w:pPr>
        <w:pStyle w:val="CETBodytext"/>
        <w:spacing w:before="240"/>
        <w:rPr>
          <w:rFonts w:eastAsiaTheme="minorHAnsi" w:cs="Arial"/>
          <w:b/>
          <w:bCs/>
          <w:szCs w:val="18"/>
        </w:rPr>
      </w:pPr>
      <w:r w:rsidRPr="00513A19">
        <w:rPr>
          <w:rFonts w:eastAsiaTheme="minorHAnsi" w:cs="Arial"/>
          <w:b/>
          <w:bCs/>
          <w:szCs w:val="18"/>
        </w:rPr>
        <w:t>2.2. Statistical analysis</w:t>
      </w:r>
    </w:p>
    <w:p w14:paraId="02F70D0E" w14:textId="77777777" w:rsidR="006B4083" w:rsidRDefault="00513A19" w:rsidP="00513A19">
      <w:pPr>
        <w:pStyle w:val="CETBodytext"/>
        <w:rPr>
          <w:rFonts w:cs="Arial"/>
          <w:color w:val="000000" w:themeColor="text1"/>
          <w:szCs w:val="18"/>
        </w:rPr>
      </w:pPr>
      <w:r>
        <w:t xml:space="preserve">The statistical treatment was applied </w:t>
      </w:r>
      <w:proofErr w:type="gramStart"/>
      <w:r>
        <w:rPr>
          <w:rFonts w:cs="Arial"/>
          <w:color w:val="000000" w:themeColor="text1"/>
          <w:szCs w:val="18"/>
        </w:rPr>
        <w:t>in order t</w:t>
      </w:r>
      <w:r w:rsidRPr="009844B2">
        <w:rPr>
          <w:rFonts w:cs="Arial"/>
          <w:color w:val="000000" w:themeColor="text1"/>
          <w:szCs w:val="18"/>
        </w:rPr>
        <w:t>o</w:t>
      </w:r>
      <w:proofErr w:type="gramEnd"/>
      <w:r w:rsidRPr="009844B2">
        <w:rPr>
          <w:rFonts w:cs="Arial"/>
          <w:color w:val="000000" w:themeColor="text1"/>
          <w:szCs w:val="18"/>
        </w:rPr>
        <w:t xml:space="preserve"> evaluate the effects of temperature, pressure and composition of the biomass feed on the reaction behavior, a Central Compound </w:t>
      </w:r>
      <w:r>
        <w:rPr>
          <w:rFonts w:cs="Arial"/>
          <w:color w:val="000000" w:themeColor="text1"/>
          <w:szCs w:val="18"/>
        </w:rPr>
        <w:t>E</w:t>
      </w:r>
      <w:r w:rsidRPr="009844B2">
        <w:rPr>
          <w:rFonts w:cs="Arial"/>
          <w:color w:val="000000" w:themeColor="text1"/>
          <w:szCs w:val="18"/>
        </w:rPr>
        <w:t xml:space="preserve">xperimental </w:t>
      </w:r>
      <w:r>
        <w:rPr>
          <w:rFonts w:cs="Arial"/>
          <w:color w:val="000000" w:themeColor="text1"/>
          <w:szCs w:val="18"/>
        </w:rPr>
        <w:t>D</w:t>
      </w:r>
      <w:r w:rsidRPr="009844B2">
        <w:rPr>
          <w:rFonts w:cs="Arial"/>
          <w:color w:val="000000" w:themeColor="text1"/>
          <w:szCs w:val="18"/>
        </w:rPr>
        <w:t>esign (DOE) was developed</w:t>
      </w:r>
      <w:r>
        <w:rPr>
          <w:rFonts w:cs="Arial"/>
          <w:color w:val="000000" w:themeColor="text1"/>
          <w:szCs w:val="18"/>
        </w:rPr>
        <w:t xml:space="preserve"> in order</w:t>
      </w:r>
      <w:r w:rsidRPr="009844B2">
        <w:rPr>
          <w:rFonts w:cs="Arial"/>
          <w:color w:val="000000" w:themeColor="text1"/>
          <w:szCs w:val="18"/>
        </w:rPr>
        <w:t xml:space="preserve"> to verify 3 factors, 1 central point for each factor, using 16 runs. </w:t>
      </w:r>
      <w:r w:rsidRPr="00567068">
        <w:rPr>
          <w:rFonts w:cs="Arial"/>
          <w:color w:val="000000" w:themeColor="text1"/>
          <w:szCs w:val="18"/>
        </w:rPr>
        <w:t xml:space="preserve">This type of design is often used to determine the influence of independent factors in a process and to optimize experimental conditions due to the existence of axial points </w:t>
      </w:r>
      <w:r>
        <w:rPr>
          <w:rFonts w:cs="Arial"/>
          <w:color w:val="000000" w:themeColor="text1"/>
          <w:szCs w:val="18"/>
        </w:rPr>
        <w:t>(</w:t>
      </w:r>
      <w:r>
        <w:t>Agrest</w:t>
      </w:r>
      <w:r w:rsidR="005E23A5">
        <w:t>i</w:t>
      </w:r>
      <w:r>
        <w:t>, 2012)</w:t>
      </w:r>
      <w:r w:rsidRPr="00567068">
        <w:rPr>
          <w:rFonts w:cs="Arial"/>
          <w:color w:val="000000" w:themeColor="text1"/>
          <w:szCs w:val="18"/>
        </w:rPr>
        <w:t xml:space="preserve">. Table </w:t>
      </w:r>
      <w:r>
        <w:rPr>
          <w:rFonts w:cs="Arial"/>
          <w:color w:val="000000" w:themeColor="text1"/>
          <w:szCs w:val="18"/>
        </w:rPr>
        <w:t>1</w:t>
      </w:r>
      <w:r w:rsidRPr="00567068">
        <w:rPr>
          <w:rFonts w:cs="Arial"/>
          <w:color w:val="000000" w:themeColor="text1"/>
          <w:szCs w:val="18"/>
        </w:rPr>
        <w:t xml:space="preserve"> presents the independent variables, the coded and real values ​​of the variables considere</w:t>
      </w:r>
      <w:r>
        <w:rPr>
          <w:rFonts w:cs="Arial"/>
          <w:color w:val="000000" w:themeColor="text1"/>
          <w:szCs w:val="18"/>
        </w:rPr>
        <w:t>d during performed simulations</w:t>
      </w:r>
      <w:r w:rsidRPr="00567068">
        <w:rPr>
          <w:rFonts w:cs="Arial"/>
          <w:color w:val="000000" w:themeColor="text1"/>
          <w:szCs w:val="18"/>
        </w:rPr>
        <w:t>.</w:t>
      </w:r>
    </w:p>
    <w:p w14:paraId="5ABC83C3" w14:textId="77777777" w:rsidR="00513A19" w:rsidRDefault="00513A19" w:rsidP="00206228">
      <w:pPr>
        <w:spacing w:before="240"/>
        <w:rPr>
          <w:rFonts w:cs="Arial"/>
          <w:i/>
          <w:iCs/>
          <w:szCs w:val="18"/>
          <w:lang w:val="en-US"/>
        </w:rPr>
      </w:pPr>
      <w:r w:rsidRPr="0045083C">
        <w:rPr>
          <w:rFonts w:cs="Arial"/>
          <w:i/>
          <w:iCs/>
          <w:szCs w:val="18"/>
          <w:lang w:val="en-US"/>
        </w:rPr>
        <w:t xml:space="preserve">Table </w:t>
      </w:r>
      <w:r>
        <w:rPr>
          <w:rFonts w:cs="Arial"/>
          <w:i/>
          <w:iCs/>
          <w:szCs w:val="18"/>
          <w:lang w:val="en-US"/>
        </w:rPr>
        <w:t>1</w:t>
      </w:r>
      <w:r w:rsidR="00A95C0D">
        <w:rPr>
          <w:rFonts w:cs="Arial"/>
          <w:i/>
          <w:iCs/>
          <w:szCs w:val="18"/>
          <w:lang w:val="en-US"/>
        </w:rPr>
        <w:t>:</w:t>
      </w:r>
      <w:r w:rsidRPr="0045083C">
        <w:rPr>
          <w:rFonts w:cs="Arial"/>
          <w:i/>
          <w:iCs/>
          <w:szCs w:val="18"/>
          <w:lang w:val="en-US"/>
        </w:rPr>
        <w:t xml:space="preserve"> Absolute and coded values ​​for pressure, temperature, and biomass composition in the process feed.</w:t>
      </w:r>
    </w:p>
    <w:tbl>
      <w:tblPr>
        <w:tblW w:w="8373" w:type="dxa"/>
        <w:tblCellMar>
          <w:left w:w="70" w:type="dxa"/>
          <w:right w:w="70" w:type="dxa"/>
        </w:tblCellMar>
        <w:tblLook w:val="04A0" w:firstRow="1" w:lastRow="0" w:firstColumn="1" w:lastColumn="0" w:noHBand="0" w:noVBand="1"/>
      </w:tblPr>
      <w:tblGrid>
        <w:gridCol w:w="1418"/>
        <w:gridCol w:w="691"/>
        <w:gridCol w:w="757"/>
        <w:gridCol w:w="886"/>
        <w:gridCol w:w="813"/>
        <w:gridCol w:w="744"/>
        <w:gridCol w:w="744"/>
        <w:gridCol w:w="660"/>
        <w:gridCol w:w="830"/>
        <w:gridCol w:w="830"/>
      </w:tblGrid>
      <w:tr w:rsidR="00037A18" w:rsidRPr="00037A18" w14:paraId="52C743F6" w14:textId="77777777" w:rsidTr="004E7114">
        <w:trPr>
          <w:trHeight w:val="258"/>
        </w:trPr>
        <w:tc>
          <w:tcPr>
            <w:tcW w:w="1418" w:type="dxa"/>
            <w:tcBorders>
              <w:top w:val="nil"/>
              <w:left w:val="nil"/>
              <w:bottom w:val="single" w:sz="4" w:space="0" w:color="00B050"/>
              <w:right w:val="nil"/>
            </w:tcBorders>
            <w:shd w:val="clear" w:color="000000" w:fill="FFFFFF"/>
            <w:noWrap/>
            <w:vAlign w:val="center"/>
            <w:hideMark/>
          </w:tcPr>
          <w:p w14:paraId="0D17BA18" w14:textId="77777777" w:rsidR="00037A18" w:rsidRPr="00037A18" w:rsidRDefault="00037A18" w:rsidP="00037A18">
            <w:pPr>
              <w:tabs>
                <w:tab w:val="clear" w:pos="7100"/>
              </w:tabs>
              <w:spacing w:line="240" w:lineRule="auto"/>
              <w:jc w:val="center"/>
              <w:rPr>
                <w:rFonts w:cs="Arial"/>
                <w:color w:val="000000"/>
                <w:szCs w:val="18"/>
                <w:lang w:val="en-US" w:eastAsia="pt-BR"/>
              </w:rPr>
            </w:pPr>
          </w:p>
        </w:tc>
        <w:tc>
          <w:tcPr>
            <w:tcW w:w="2334" w:type="dxa"/>
            <w:gridSpan w:val="3"/>
            <w:tcBorders>
              <w:top w:val="single" w:sz="4" w:space="0" w:color="00B050"/>
              <w:left w:val="nil"/>
              <w:bottom w:val="single" w:sz="4" w:space="0" w:color="00B050"/>
              <w:right w:val="nil"/>
            </w:tcBorders>
            <w:shd w:val="clear" w:color="000000" w:fill="FFFFFF"/>
            <w:noWrap/>
            <w:vAlign w:val="center"/>
            <w:hideMark/>
          </w:tcPr>
          <w:p w14:paraId="624AE490"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val="pt-BR" w:eastAsia="pt-BR"/>
              </w:rPr>
              <w:t>Temperature (K)</w:t>
            </w:r>
          </w:p>
        </w:tc>
        <w:tc>
          <w:tcPr>
            <w:tcW w:w="2301" w:type="dxa"/>
            <w:gridSpan w:val="3"/>
            <w:tcBorders>
              <w:top w:val="single" w:sz="4" w:space="0" w:color="00B050"/>
              <w:left w:val="nil"/>
              <w:bottom w:val="single" w:sz="4" w:space="0" w:color="00B050"/>
              <w:right w:val="nil"/>
            </w:tcBorders>
            <w:shd w:val="clear" w:color="000000" w:fill="FFFFFF"/>
            <w:noWrap/>
            <w:vAlign w:val="center"/>
            <w:hideMark/>
          </w:tcPr>
          <w:p w14:paraId="6E2F4AD7"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val="pt-BR" w:eastAsia="pt-BR"/>
              </w:rPr>
              <w:t>Pressure (bar)</w:t>
            </w:r>
          </w:p>
        </w:tc>
        <w:tc>
          <w:tcPr>
            <w:tcW w:w="2320" w:type="dxa"/>
            <w:gridSpan w:val="3"/>
            <w:tcBorders>
              <w:top w:val="single" w:sz="4" w:space="0" w:color="00B050"/>
              <w:left w:val="nil"/>
              <w:bottom w:val="single" w:sz="4" w:space="0" w:color="00B050"/>
              <w:right w:val="nil"/>
            </w:tcBorders>
            <w:shd w:val="clear" w:color="000000" w:fill="FFFFFF"/>
            <w:noWrap/>
            <w:vAlign w:val="center"/>
            <w:hideMark/>
          </w:tcPr>
          <w:p w14:paraId="275714D7"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val="pt-BR" w:eastAsia="pt-BR"/>
              </w:rPr>
              <w:t>Biomass (%wt)</w:t>
            </w:r>
          </w:p>
        </w:tc>
      </w:tr>
      <w:tr w:rsidR="00037A18" w:rsidRPr="00037A18" w14:paraId="6AD7D92E" w14:textId="77777777" w:rsidTr="004E7114">
        <w:trPr>
          <w:trHeight w:val="320"/>
        </w:trPr>
        <w:tc>
          <w:tcPr>
            <w:tcW w:w="1418" w:type="dxa"/>
            <w:tcBorders>
              <w:top w:val="nil"/>
              <w:left w:val="nil"/>
              <w:bottom w:val="nil"/>
              <w:right w:val="nil"/>
            </w:tcBorders>
            <w:shd w:val="clear" w:color="000000" w:fill="FFFFFF"/>
            <w:noWrap/>
            <w:vAlign w:val="center"/>
            <w:hideMark/>
          </w:tcPr>
          <w:p w14:paraId="418715A0"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eastAsia="pt-BR"/>
              </w:rPr>
              <w:t>Coded Values</w:t>
            </w:r>
          </w:p>
        </w:tc>
        <w:tc>
          <w:tcPr>
            <w:tcW w:w="691" w:type="dxa"/>
            <w:tcBorders>
              <w:top w:val="nil"/>
              <w:left w:val="nil"/>
              <w:bottom w:val="nil"/>
              <w:right w:val="nil"/>
            </w:tcBorders>
            <w:shd w:val="clear" w:color="000000" w:fill="FFFFFF"/>
            <w:noWrap/>
            <w:vAlign w:val="center"/>
            <w:hideMark/>
          </w:tcPr>
          <w:p w14:paraId="76556C1F"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val="pt-BR" w:eastAsia="pt-BR"/>
              </w:rPr>
              <w:t>-1</w:t>
            </w:r>
          </w:p>
        </w:tc>
        <w:tc>
          <w:tcPr>
            <w:tcW w:w="757" w:type="dxa"/>
            <w:tcBorders>
              <w:top w:val="nil"/>
              <w:left w:val="nil"/>
              <w:bottom w:val="nil"/>
              <w:right w:val="nil"/>
            </w:tcBorders>
            <w:shd w:val="clear" w:color="000000" w:fill="FFFFFF"/>
            <w:noWrap/>
            <w:vAlign w:val="center"/>
            <w:hideMark/>
          </w:tcPr>
          <w:p w14:paraId="4621C8AA"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val="pt-BR" w:eastAsia="pt-BR"/>
              </w:rPr>
              <w:t>0</w:t>
            </w:r>
          </w:p>
        </w:tc>
        <w:tc>
          <w:tcPr>
            <w:tcW w:w="886" w:type="dxa"/>
            <w:tcBorders>
              <w:top w:val="nil"/>
              <w:left w:val="nil"/>
              <w:bottom w:val="nil"/>
              <w:right w:val="nil"/>
            </w:tcBorders>
            <w:shd w:val="clear" w:color="000000" w:fill="FFFFFF"/>
            <w:noWrap/>
            <w:vAlign w:val="center"/>
            <w:hideMark/>
          </w:tcPr>
          <w:p w14:paraId="191BEEB6"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val="pt-BR" w:eastAsia="pt-BR"/>
              </w:rPr>
              <w:t>1</w:t>
            </w:r>
          </w:p>
        </w:tc>
        <w:tc>
          <w:tcPr>
            <w:tcW w:w="813" w:type="dxa"/>
            <w:tcBorders>
              <w:top w:val="nil"/>
              <w:left w:val="nil"/>
              <w:bottom w:val="nil"/>
              <w:right w:val="nil"/>
            </w:tcBorders>
            <w:shd w:val="clear" w:color="000000" w:fill="FFFFFF"/>
            <w:noWrap/>
            <w:vAlign w:val="center"/>
            <w:hideMark/>
          </w:tcPr>
          <w:p w14:paraId="5FA1847F"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val="pt-BR" w:eastAsia="pt-BR"/>
              </w:rPr>
              <w:t>-1</w:t>
            </w:r>
          </w:p>
        </w:tc>
        <w:tc>
          <w:tcPr>
            <w:tcW w:w="744" w:type="dxa"/>
            <w:tcBorders>
              <w:top w:val="nil"/>
              <w:left w:val="nil"/>
              <w:bottom w:val="nil"/>
              <w:right w:val="nil"/>
            </w:tcBorders>
            <w:shd w:val="clear" w:color="000000" w:fill="FFFFFF"/>
            <w:noWrap/>
            <w:vAlign w:val="center"/>
            <w:hideMark/>
          </w:tcPr>
          <w:p w14:paraId="5264E7CF"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val="pt-BR" w:eastAsia="pt-BR"/>
              </w:rPr>
              <w:t>0</w:t>
            </w:r>
          </w:p>
        </w:tc>
        <w:tc>
          <w:tcPr>
            <w:tcW w:w="744" w:type="dxa"/>
            <w:tcBorders>
              <w:top w:val="nil"/>
              <w:left w:val="nil"/>
              <w:bottom w:val="nil"/>
              <w:right w:val="nil"/>
            </w:tcBorders>
            <w:shd w:val="clear" w:color="000000" w:fill="FFFFFF"/>
            <w:noWrap/>
            <w:vAlign w:val="center"/>
            <w:hideMark/>
          </w:tcPr>
          <w:p w14:paraId="041DCAB7"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val="pt-BR" w:eastAsia="pt-BR"/>
              </w:rPr>
              <w:t>1</w:t>
            </w:r>
          </w:p>
        </w:tc>
        <w:tc>
          <w:tcPr>
            <w:tcW w:w="660" w:type="dxa"/>
            <w:tcBorders>
              <w:top w:val="nil"/>
              <w:left w:val="nil"/>
              <w:bottom w:val="nil"/>
              <w:right w:val="nil"/>
            </w:tcBorders>
            <w:shd w:val="clear" w:color="000000" w:fill="FFFFFF"/>
            <w:noWrap/>
            <w:vAlign w:val="center"/>
            <w:hideMark/>
          </w:tcPr>
          <w:p w14:paraId="05F69225"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val="pt-BR" w:eastAsia="pt-BR"/>
              </w:rPr>
              <w:t>-1</w:t>
            </w:r>
          </w:p>
        </w:tc>
        <w:tc>
          <w:tcPr>
            <w:tcW w:w="830" w:type="dxa"/>
            <w:tcBorders>
              <w:top w:val="nil"/>
              <w:left w:val="nil"/>
              <w:bottom w:val="nil"/>
              <w:right w:val="nil"/>
            </w:tcBorders>
            <w:shd w:val="clear" w:color="000000" w:fill="FFFFFF"/>
            <w:noWrap/>
            <w:vAlign w:val="center"/>
            <w:hideMark/>
          </w:tcPr>
          <w:p w14:paraId="5F5149BD"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val="pt-BR" w:eastAsia="pt-BR"/>
              </w:rPr>
              <w:t>0</w:t>
            </w:r>
          </w:p>
        </w:tc>
        <w:tc>
          <w:tcPr>
            <w:tcW w:w="830" w:type="dxa"/>
            <w:tcBorders>
              <w:top w:val="nil"/>
              <w:left w:val="nil"/>
              <w:bottom w:val="nil"/>
              <w:right w:val="nil"/>
            </w:tcBorders>
            <w:shd w:val="clear" w:color="000000" w:fill="FFFFFF"/>
            <w:noWrap/>
            <w:vAlign w:val="center"/>
            <w:hideMark/>
          </w:tcPr>
          <w:p w14:paraId="4C86CF9F"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val="pt-BR" w:eastAsia="pt-BR"/>
              </w:rPr>
              <w:t>1</w:t>
            </w:r>
          </w:p>
        </w:tc>
      </w:tr>
      <w:tr w:rsidR="00037A18" w:rsidRPr="00037A18" w14:paraId="2E7A6B41" w14:textId="77777777" w:rsidTr="004E7114">
        <w:trPr>
          <w:trHeight w:val="320"/>
        </w:trPr>
        <w:tc>
          <w:tcPr>
            <w:tcW w:w="1418" w:type="dxa"/>
            <w:tcBorders>
              <w:top w:val="nil"/>
              <w:left w:val="nil"/>
              <w:bottom w:val="single" w:sz="4" w:space="0" w:color="00B050"/>
              <w:right w:val="nil"/>
            </w:tcBorders>
            <w:shd w:val="clear" w:color="000000" w:fill="FFFFFF"/>
            <w:noWrap/>
            <w:vAlign w:val="center"/>
            <w:hideMark/>
          </w:tcPr>
          <w:p w14:paraId="75B3B26B"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eastAsia="pt-BR"/>
              </w:rPr>
              <w:t>Real Values</w:t>
            </w:r>
          </w:p>
        </w:tc>
        <w:tc>
          <w:tcPr>
            <w:tcW w:w="691" w:type="dxa"/>
            <w:tcBorders>
              <w:top w:val="nil"/>
              <w:left w:val="nil"/>
              <w:bottom w:val="single" w:sz="4" w:space="0" w:color="00B050"/>
              <w:right w:val="nil"/>
            </w:tcBorders>
            <w:shd w:val="clear" w:color="000000" w:fill="FFFFFF"/>
            <w:noWrap/>
            <w:vAlign w:val="center"/>
            <w:hideMark/>
          </w:tcPr>
          <w:p w14:paraId="09D0A4B1"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val="pt-BR" w:eastAsia="pt-BR"/>
              </w:rPr>
              <w:t>723.15</w:t>
            </w:r>
          </w:p>
        </w:tc>
        <w:tc>
          <w:tcPr>
            <w:tcW w:w="757" w:type="dxa"/>
            <w:tcBorders>
              <w:top w:val="nil"/>
              <w:left w:val="nil"/>
              <w:bottom w:val="single" w:sz="4" w:space="0" w:color="00B050"/>
              <w:right w:val="nil"/>
            </w:tcBorders>
            <w:shd w:val="clear" w:color="000000" w:fill="FFFFFF"/>
            <w:noWrap/>
            <w:vAlign w:val="center"/>
            <w:hideMark/>
          </w:tcPr>
          <w:p w14:paraId="244ACA7B"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val="pt-BR" w:eastAsia="pt-BR"/>
              </w:rPr>
              <w:t>973.15</w:t>
            </w:r>
          </w:p>
        </w:tc>
        <w:tc>
          <w:tcPr>
            <w:tcW w:w="886" w:type="dxa"/>
            <w:tcBorders>
              <w:top w:val="nil"/>
              <w:left w:val="nil"/>
              <w:bottom w:val="single" w:sz="4" w:space="0" w:color="00B050"/>
              <w:right w:val="nil"/>
            </w:tcBorders>
            <w:shd w:val="clear" w:color="000000" w:fill="FFFFFF"/>
            <w:noWrap/>
            <w:vAlign w:val="center"/>
            <w:hideMark/>
          </w:tcPr>
          <w:p w14:paraId="6446A2A7"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val="pt-BR" w:eastAsia="pt-BR"/>
              </w:rPr>
              <w:t>1223.15</w:t>
            </w:r>
          </w:p>
        </w:tc>
        <w:tc>
          <w:tcPr>
            <w:tcW w:w="813" w:type="dxa"/>
            <w:tcBorders>
              <w:top w:val="nil"/>
              <w:left w:val="nil"/>
              <w:bottom w:val="single" w:sz="4" w:space="0" w:color="00B050"/>
              <w:right w:val="nil"/>
            </w:tcBorders>
            <w:shd w:val="clear" w:color="000000" w:fill="FFFFFF"/>
            <w:noWrap/>
            <w:vAlign w:val="center"/>
            <w:hideMark/>
          </w:tcPr>
          <w:p w14:paraId="04DAD5EF" w14:textId="77777777" w:rsidR="00037A18" w:rsidRPr="00037A18" w:rsidRDefault="00037A18" w:rsidP="00037A18">
            <w:pPr>
              <w:tabs>
                <w:tab w:val="clear" w:pos="7100"/>
              </w:tabs>
              <w:spacing w:line="240" w:lineRule="auto"/>
              <w:jc w:val="center"/>
              <w:rPr>
                <w:rFonts w:cs="Arial"/>
                <w:color w:val="000000"/>
                <w:szCs w:val="18"/>
                <w:lang w:val="pt-BR" w:eastAsia="pt-BR"/>
              </w:rPr>
            </w:pPr>
            <w:r w:rsidRPr="00037A18">
              <w:rPr>
                <w:rFonts w:cs="Arial"/>
                <w:color w:val="000000"/>
                <w:szCs w:val="18"/>
                <w:lang w:val="pt-BR" w:eastAsia="pt-BR"/>
              </w:rPr>
              <w:t>200.00</w:t>
            </w:r>
          </w:p>
        </w:tc>
        <w:tc>
          <w:tcPr>
            <w:tcW w:w="744" w:type="dxa"/>
            <w:tcBorders>
              <w:top w:val="nil"/>
              <w:left w:val="nil"/>
              <w:bottom w:val="single" w:sz="4" w:space="0" w:color="00B050"/>
              <w:right w:val="nil"/>
            </w:tcBorders>
            <w:shd w:val="clear" w:color="000000" w:fill="FFFFFF"/>
            <w:noWrap/>
            <w:vAlign w:val="center"/>
            <w:hideMark/>
          </w:tcPr>
          <w:p w14:paraId="5A4DEF90" w14:textId="77777777" w:rsidR="00037A18" w:rsidRPr="00037A18" w:rsidRDefault="00037A18" w:rsidP="00037A18">
            <w:pPr>
              <w:tabs>
                <w:tab w:val="clear" w:pos="7100"/>
              </w:tabs>
              <w:spacing w:line="240" w:lineRule="auto"/>
              <w:jc w:val="center"/>
              <w:rPr>
                <w:rFonts w:ascii="Calibri" w:hAnsi="Calibri" w:cs="Calibri"/>
                <w:color w:val="000000"/>
                <w:szCs w:val="18"/>
                <w:lang w:val="pt-BR" w:eastAsia="pt-BR"/>
              </w:rPr>
            </w:pPr>
            <w:r w:rsidRPr="00037A18">
              <w:rPr>
                <w:rFonts w:ascii="Calibri" w:hAnsi="Calibri" w:cs="Calibri"/>
                <w:color w:val="000000"/>
                <w:szCs w:val="18"/>
                <w:lang w:val="pt-BR" w:eastAsia="pt-BR"/>
              </w:rPr>
              <w:t>250.00</w:t>
            </w:r>
          </w:p>
        </w:tc>
        <w:tc>
          <w:tcPr>
            <w:tcW w:w="744" w:type="dxa"/>
            <w:tcBorders>
              <w:top w:val="nil"/>
              <w:left w:val="nil"/>
              <w:bottom w:val="single" w:sz="4" w:space="0" w:color="00B050"/>
              <w:right w:val="nil"/>
            </w:tcBorders>
            <w:shd w:val="clear" w:color="000000" w:fill="FFFFFF"/>
            <w:noWrap/>
            <w:vAlign w:val="center"/>
            <w:hideMark/>
          </w:tcPr>
          <w:p w14:paraId="7AEC5AEC" w14:textId="77777777" w:rsidR="00037A18" w:rsidRPr="00037A18" w:rsidRDefault="00037A18" w:rsidP="00037A18">
            <w:pPr>
              <w:tabs>
                <w:tab w:val="clear" w:pos="7100"/>
              </w:tabs>
              <w:spacing w:line="240" w:lineRule="auto"/>
              <w:jc w:val="center"/>
              <w:rPr>
                <w:rFonts w:ascii="Calibri" w:hAnsi="Calibri" w:cs="Calibri"/>
                <w:color w:val="000000"/>
                <w:szCs w:val="18"/>
                <w:lang w:val="pt-BR" w:eastAsia="pt-BR"/>
              </w:rPr>
            </w:pPr>
            <w:r w:rsidRPr="00037A18">
              <w:rPr>
                <w:rFonts w:ascii="Calibri" w:hAnsi="Calibri" w:cs="Calibri"/>
                <w:color w:val="000000"/>
                <w:szCs w:val="18"/>
                <w:lang w:val="pt-BR" w:eastAsia="pt-BR"/>
              </w:rPr>
              <w:t>300.00</w:t>
            </w:r>
          </w:p>
        </w:tc>
        <w:tc>
          <w:tcPr>
            <w:tcW w:w="660" w:type="dxa"/>
            <w:tcBorders>
              <w:top w:val="nil"/>
              <w:left w:val="nil"/>
              <w:bottom w:val="single" w:sz="4" w:space="0" w:color="00B050"/>
              <w:right w:val="nil"/>
            </w:tcBorders>
            <w:shd w:val="clear" w:color="000000" w:fill="FFFFFF"/>
            <w:noWrap/>
            <w:vAlign w:val="center"/>
            <w:hideMark/>
          </w:tcPr>
          <w:p w14:paraId="58691A5A" w14:textId="77777777" w:rsidR="00037A18" w:rsidRPr="00037A18" w:rsidRDefault="00037A18" w:rsidP="00037A18">
            <w:pPr>
              <w:tabs>
                <w:tab w:val="clear" w:pos="7100"/>
              </w:tabs>
              <w:spacing w:line="240" w:lineRule="auto"/>
              <w:jc w:val="center"/>
              <w:rPr>
                <w:rFonts w:ascii="Calibri" w:hAnsi="Calibri" w:cs="Calibri"/>
                <w:color w:val="000000"/>
                <w:szCs w:val="18"/>
                <w:lang w:val="pt-BR" w:eastAsia="pt-BR"/>
              </w:rPr>
            </w:pPr>
            <w:r w:rsidRPr="00037A18">
              <w:rPr>
                <w:rFonts w:ascii="Calibri" w:hAnsi="Calibri" w:cs="Calibri"/>
                <w:color w:val="000000"/>
                <w:szCs w:val="18"/>
                <w:lang w:val="pt-BR" w:eastAsia="pt-BR"/>
              </w:rPr>
              <w:t>2.00</w:t>
            </w:r>
          </w:p>
        </w:tc>
        <w:tc>
          <w:tcPr>
            <w:tcW w:w="830" w:type="dxa"/>
            <w:tcBorders>
              <w:top w:val="nil"/>
              <w:left w:val="nil"/>
              <w:bottom w:val="single" w:sz="4" w:space="0" w:color="00B050"/>
              <w:right w:val="nil"/>
            </w:tcBorders>
            <w:shd w:val="clear" w:color="000000" w:fill="FFFFFF"/>
            <w:noWrap/>
            <w:vAlign w:val="center"/>
            <w:hideMark/>
          </w:tcPr>
          <w:p w14:paraId="5324CA08" w14:textId="77777777" w:rsidR="00037A18" w:rsidRPr="00037A18" w:rsidRDefault="00037A18" w:rsidP="00037A18">
            <w:pPr>
              <w:tabs>
                <w:tab w:val="clear" w:pos="7100"/>
              </w:tabs>
              <w:spacing w:line="240" w:lineRule="auto"/>
              <w:jc w:val="center"/>
              <w:rPr>
                <w:rFonts w:ascii="Calibri" w:hAnsi="Calibri" w:cs="Calibri"/>
                <w:color w:val="000000"/>
                <w:szCs w:val="18"/>
                <w:lang w:val="pt-BR" w:eastAsia="pt-BR"/>
              </w:rPr>
            </w:pPr>
            <w:r w:rsidRPr="00037A18">
              <w:rPr>
                <w:rFonts w:ascii="Calibri" w:hAnsi="Calibri" w:cs="Calibri"/>
                <w:color w:val="000000"/>
                <w:szCs w:val="18"/>
                <w:lang w:val="pt-BR" w:eastAsia="pt-BR"/>
              </w:rPr>
              <w:t>37.00</w:t>
            </w:r>
          </w:p>
        </w:tc>
        <w:tc>
          <w:tcPr>
            <w:tcW w:w="830" w:type="dxa"/>
            <w:tcBorders>
              <w:top w:val="nil"/>
              <w:left w:val="nil"/>
              <w:bottom w:val="single" w:sz="4" w:space="0" w:color="00B050"/>
              <w:right w:val="nil"/>
            </w:tcBorders>
            <w:shd w:val="clear" w:color="000000" w:fill="FFFFFF"/>
            <w:noWrap/>
            <w:vAlign w:val="center"/>
            <w:hideMark/>
          </w:tcPr>
          <w:p w14:paraId="45677EDB" w14:textId="77777777" w:rsidR="00037A18" w:rsidRPr="00037A18" w:rsidRDefault="00037A18" w:rsidP="00037A18">
            <w:pPr>
              <w:tabs>
                <w:tab w:val="clear" w:pos="7100"/>
              </w:tabs>
              <w:spacing w:line="240" w:lineRule="auto"/>
              <w:jc w:val="center"/>
              <w:rPr>
                <w:rFonts w:ascii="Calibri" w:hAnsi="Calibri" w:cs="Calibri"/>
                <w:color w:val="000000"/>
                <w:szCs w:val="18"/>
                <w:lang w:val="pt-BR" w:eastAsia="pt-BR"/>
              </w:rPr>
            </w:pPr>
            <w:r w:rsidRPr="00037A18">
              <w:rPr>
                <w:rFonts w:ascii="Calibri" w:hAnsi="Calibri" w:cs="Calibri"/>
                <w:color w:val="000000"/>
                <w:szCs w:val="18"/>
                <w:lang w:val="pt-BR" w:eastAsia="pt-BR"/>
              </w:rPr>
              <w:t>72.00</w:t>
            </w:r>
          </w:p>
        </w:tc>
      </w:tr>
    </w:tbl>
    <w:p w14:paraId="29717255" w14:textId="77777777" w:rsidR="00513A19" w:rsidRDefault="00093B95" w:rsidP="00093B95">
      <w:pPr>
        <w:pStyle w:val="CETHeading1"/>
        <w:rPr>
          <w:rFonts w:eastAsiaTheme="minorHAnsi"/>
        </w:rPr>
      </w:pPr>
      <w:r>
        <w:rPr>
          <w:rFonts w:eastAsiaTheme="minorHAnsi"/>
        </w:rPr>
        <w:lastRenderedPageBreak/>
        <w:t>Results and discussion</w:t>
      </w:r>
    </w:p>
    <w:p w14:paraId="003BF8EE" w14:textId="77777777" w:rsidR="00093B95" w:rsidRPr="00093B95" w:rsidRDefault="00093B95" w:rsidP="00093B95">
      <w:pPr>
        <w:pStyle w:val="CETBodytext"/>
        <w:rPr>
          <w:rFonts w:eastAsiaTheme="minorHAnsi"/>
          <w:b/>
          <w:bCs/>
        </w:rPr>
      </w:pPr>
      <w:r w:rsidRPr="00093B95">
        <w:rPr>
          <w:rFonts w:eastAsiaTheme="minorHAnsi"/>
          <w:b/>
          <w:bCs/>
        </w:rPr>
        <w:t>3.1. Methodology validation</w:t>
      </w:r>
    </w:p>
    <w:p w14:paraId="17C971F8" w14:textId="77777777" w:rsidR="00093B95" w:rsidRDefault="00093B95" w:rsidP="00093B95">
      <w:pPr>
        <w:rPr>
          <w:rFonts w:cs="Arial"/>
          <w:iCs/>
          <w:color w:val="000000" w:themeColor="text1"/>
          <w:szCs w:val="18"/>
          <w:lang w:val="en-US"/>
        </w:rPr>
      </w:pPr>
      <w:r w:rsidRPr="00484581">
        <w:rPr>
          <w:rFonts w:cs="Arial"/>
          <w:iCs/>
          <w:color w:val="000000" w:themeColor="text1"/>
          <w:szCs w:val="18"/>
          <w:lang w:val="en-US"/>
        </w:rPr>
        <w:t xml:space="preserve">To validate the methodology for predicting the </w:t>
      </w:r>
      <w:r w:rsidR="001A6354">
        <w:rPr>
          <w:rFonts w:cs="Arial"/>
          <w:iCs/>
          <w:color w:val="000000" w:themeColor="text1"/>
          <w:szCs w:val="18"/>
          <w:lang w:val="en-US"/>
        </w:rPr>
        <w:t>values</w:t>
      </w:r>
      <w:r w:rsidRPr="00484581">
        <w:rPr>
          <w:rFonts w:cs="Arial"/>
          <w:iCs/>
          <w:color w:val="000000" w:themeColor="text1"/>
          <w:szCs w:val="18"/>
          <w:lang w:val="en-US"/>
        </w:rPr>
        <w:t xml:space="preserve"> of equilibrium compositions</w:t>
      </w:r>
      <w:r w:rsidR="00F26190">
        <w:rPr>
          <w:rFonts w:cs="Arial"/>
          <w:iCs/>
          <w:color w:val="000000" w:themeColor="text1"/>
          <w:szCs w:val="18"/>
          <w:lang w:val="en-US"/>
        </w:rPr>
        <w:t>,</w:t>
      </w:r>
      <w:r w:rsidRPr="00484581">
        <w:rPr>
          <w:rFonts w:cs="Arial"/>
          <w:iCs/>
          <w:color w:val="000000" w:themeColor="text1"/>
          <w:szCs w:val="18"/>
          <w:lang w:val="en-US"/>
        </w:rPr>
        <w:t xml:space="preserve"> </w:t>
      </w:r>
      <w:r w:rsidR="00F26190">
        <w:rPr>
          <w:rFonts w:cs="Arial"/>
          <w:iCs/>
          <w:color w:val="000000" w:themeColor="text1"/>
          <w:szCs w:val="18"/>
          <w:lang w:val="en-US"/>
        </w:rPr>
        <w:t xml:space="preserve">the </w:t>
      </w:r>
      <w:r w:rsidRPr="00484581">
        <w:rPr>
          <w:rFonts w:cs="Arial"/>
          <w:iCs/>
          <w:color w:val="000000" w:themeColor="text1"/>
          <w:szCs w:val="18"/>
          <w:lang w:val="en-US"/>
        </w:rPr>
        <w:t>SCWG process</w:t>
      </w:r>
      <w:r>
        <w:rPr>
          <w:rFonts w:cs="Arial"/>
          <w:iCs/>
          <w:color w:val="000000" w:themeColor="text1"/>
          <w:szCs w:val="18"/>
          <w:lang w:val="en-US"/>
        </w:rPr>
        <w:t xml:space="preserve"> w</w:t>
      </w:r>
      <w:r w:rsidR="00F26190">
        <w:rPr>
          <w:rFonts w:cs="Arial"/>
          <w:iCs/>
          <w:color w:val="000000" w:themeColor="text1"/>
          <w:szCs w:val="18"/>
          <w:lang w:val="en-US"/>
        </w:rPr>
        <w:t>as</w:t>
      </w:r>
      <w:r>
        <w:rPr>
          <w:rFonts w:cs="Arial"/>
          <w:iCs/>
          <w:color w:val="000000" w:themeColor="text1"/>
          <w:szCs w:val="18"/>
          <w:lang w:val="en-US"/>
        </w:rPr>
        <w:t xml:space="preserve"> </w:t>
      </w:r>
      <w:r w:rsidR="00702FDE">
        <w:rPr>
          <w:rFonts w:cs="Arial"/>
          <w:iCs/>
          <w:color w:val="000000" w:themeColor="text1"/>
          <w:szCs w:val="18"/>
          <w:lang w:val="en-US"/>
        </w:rPr>
        <w:t>considered</w:t>
      </w:r>
      <w:r w:rsidRPr="00484581">
        <w:rPr>
          <w:rFonts w:cs="Arial"/>
          <w:iCs/>
          <w:color w:val="000000" w:themeColor="text1"/>
          <w:szCs w:val="18"/>
          <w:lang w:val="en-US"/>
        </w:rPr>
        <w:t>,</w:t>
      </w:r>
      <w:r>
        <w:rPr>
          <w:rFonts w:cs="Arial"/>
          <w:iCs/>
          <w:color w:val="000000" w:themeColor="text1"/>
          <w:szCs w:val="18"/>
          <w:lang w:val="en-US"/>
        </w:rPr>
        <w:t xml:space="preserve"> </w:t>
      </w:r>
      <w:r w:rsidR="00702FDE">
        <w:rPr>
          <w:rFonts w:cs="Arial"/>
          <w:iCs/>
          <w:color w:val="000000" w:themeColor="text1"/>
          <w:szCs w:val="18"/>
          <w:lang w:val="en-US"/>
        </w:rPr>
        <w:t>based on</w:t>
      </w:r>
      <w:r>
        <w:rPr>
          <w:rFonts w:cs="Arial"/>
          <w:iCs/>
          <w:color w:val="000000" w:themeColor="text1"/>
          <w:szCs w:val="18"/>
          <w:lang w:val="en-US"/>
        </w:rPr>
        <w:t xml:space="preserve"> the</w:t>
      </w:r>
      <w:r w:rsidRPr="00484581">
        <w:rPr>
          <w:rFonts w:cs="Arial"/>
          <w:iCs/>
          <w:color w:val="000000" w:themeColor="text1"/>
          <w:szCs w:val="18"/>
          <w:lang w:val="en-US"/>
        </w:rPr>
        <w:t xml:space="preserve"> experiments </w:t>
      </w:r>
      <w:r>
        <w:rPr>
          <w:rFonts w:cs="Arial"/>
          <w:iCs/>
          <w:color w:val="000000" w:themeColor="text1"/>
          <w:szCs w:val="18"/>
          <w:lang w:val="en-US"/>
        </w:rPr>
        <w:t>performed</w:t>
      </w:r>
      <w:r w:rsidRPr="00484581">
        <w:rPr>
          <w:rFonts w:cs="Arial"/>
          <w:iCs/>
          <w:color w:val="000000" w:themeColor="text1"/>
          <w:szCs w:val="18"/>
          <w:lang w:val="en-US"/>
        </w:rPr>
        <w:t xml:space="preserve"> by Barros et al. </w:t>
      </w:r>
      <w:r>
        <w:rPr>
          <w:rFonts w:cs="Arial"/>
          <w:iCs/>
          <w:color w:val="000000" w:themeColor="text1"/>
          <w:szCs w:val="18"/>
          <w:lang w:val="en-US"/>
        </w:rPr>
        <w:t>(2022)</w:t>
      </w:r>
      <w:r w:rsidRPr="00484581">
        <w:rPr>
          <w:rFonts w:cs="Arial"/>
          <w:iCs/>
          <w:color w:val="000000" w:themeColor="text1"/>
          <w:szCs w:val="18"/>
          <w:lang w:val="en-US"/>
        </w:rPr>
        <w:t xml:space="preserve"> where this process was </w:t>
      </w:r>
      <w:r w:rsidR="00F26190">
        <w:rPr>
          <w:rFonts w:cs="Arial"/>
          <w:iCs/>
          <w:color w:val="000000" w:themeColor="text1"/>
          <w:szCs w:val="18"/>
          <w:lang w:val="en-US"/>
        </w:rPr>
        <w:t>performed</w:t>
      </w:r>
      <w:r w:rsidRPr="00484581">
        <w:rPr>
          <w:rFonts w:cs="Arial"/>
          <w:iCs/>
          <w:color w:val="000000" w:themeColor="text1"/>
          <w:szCs w:val="18"/>
          <w:lang w:val="en-US"/>
        </w:rPr>
        <w:t xml:space="preserve"> in a continuous flow reactor (Length: 0.373 m, Internal Diameter: 0.013 m) built from Inconel 625 - which is a Ni-Cr-Mo superalloy with high resistance to oxidation and corrosion at high temperatures, preheater, condenser, phase separator and pipes made o</w:t>
      </w:r>
      <w:r w:rsidR="00FD36E5">
        <w:rPr>
          <w:rFonts w:cs="Arial"/>
          <w:iCs/>
          <w:color w:val="000000" w:themeColor="text1"/>
          <w:szCs w:val="18"/>
          <w:lang w:val="en-US"/>
        </w:rPr>
        <w:t>f 316 stainless steel. Table 2</w:t>
      </w:r>
      <w:r w:rsidRPr="00484581">
        <w:rPr>
          <w:rFonts w:cs="Arial"/>
          <w:iCs/>
          <w:color w:val="000000" w:themeColor="text1"/>
          <w:szCs w:val="18"/>
          <w:lang w:val="en-US"/>
        </w:rPr>
        <w:t xml:space="preserve"> presents a comparison between the experimental results </w:t>
      </w:r>
      <w:r w:rsidR="00B80222">
        <w:rPr>
          <w:rFonts w:cs="Arial"/>
          <w:iCs/>
          <w:color w:val="000000" w:themeColor="text1"/>
          <w:szCs w:val="18"/>
          <w:lang w:val="en-US"/>
        </w:rPr>
        <w:t>reported in</w:t>
      </w:r>
      <w:r w:rsidRPr="00484581">
        <w:rPr>
          <w:rFonts w:cs="Arial"/>
          <w:iCs/>
          <w:color w:val="000000" w:themeColor="text1"/>
          <w:szCs w:val="18"/>
          <w:lang w:val="en-US"/>
        </w:rPr>
        <w:t xml:space="preserve"> Barros et al. (2022) at 230 bar and</w:t>
      </w:r>
      <w:r w:rsidR="00B80222">
        <w:rPr>
          <w:rFonts w:cs="Arial"/>
          <w:iCs/>
          <w:color w:val="000000" w:themeColor="text1"/>
          <w:szCs w:val="18"/>
          <w:lang w:val="en-US"/>
        </w:rPr>
        <w:t xml:space="preserve"> the</w:t>
      </w:r>
      <w:r w:rsidRPr="00484581">
        <w:rPr>
          <w:rFonts w:cs="Arial"/>
          <w:iCs/>
          <w:color w:val="000000" w:themeColor="text1"/>
          <w:szCs w:val="18"/>
          <w:lang w:val="en-US"/>
        </w:rPr>
        <w:t xml:space="preserve"> results obtained using the Gibbs energy minimization methodology associated with the Peng-Robinson equation</w:t>
      </w:r>
      <w:r>
        <w:rPr>
          <w:rFonts w:cs="Arial"/>
          <w:iCs/>
          <w:color w:val="000000" w:themeColor="text1"/>
          <w:szCs w:val="18"/>
          <w:lang w:val="en-US"/>
        </w:rPr>
        <w:t xml:space="preserve"> </w:t>
      </w:r>
      <w:r w:rsidR="001A6354">
        <w:rPr>
          <w:rFonts w:cs="Arial"/>
          <w:iCs/>
          <w:color w:val="000000" w:themeColor="text1"/>
          <w:szCs w:val="18"/>
          <w:lang w:val="en-US"/>
        </w:rPr>
        <w:t>calculate</w:t>
      </w:r>
      <w:r>
        <w:rPr>
          <w:rFonts w:cs="Arial"/>
          <w:iCs/>
          <w:color w:val="000000" w:themeColor="text1"/>
          <w:szCs w:val="18"/>
          <w:lang w:val="en-US"/>
        </w:rPr>
        <w:t>d by this paper</w:t>
      </w:r>
      <w:r w:rsidRPr="00484581">
        <w:rPr>
          <w:rFonts w:cs="Arial"/>
          <w:iCs/>
          <w:color w:val="000000" w:themeColor="text1"/>
          <w:szCs w:val="18"/>
          <w:lang w:val="en-US"/>
        </w:rPr>
        <w:t>.</w:t>
      </w:r>
    </w:p>
    <w:p w14:paraId="2625F0B8" w14:textId="77777777" w:rsidR="00093B95" w:rsidRPr="0045083C" w:rsidRDefault="00093B95" w:rsidP="00086F7C">
      <w:pPr>
        <w:spacing w:before="240"/>
        <w:rPr>
          <w:rFonts w:cs="Arial"/>
          <w:i/>
          <w:iCs/>
          <w:color w:val="000000"/>
          <w:szCs w:val="18"/>
          <w:lang w:val="en-US"/>
        </w:rPr>
      </w:pPr>
      <w:r w:rsidRPr="0045083C">
        <w:rPr>
          <w:rFonts w:cs="Arial"/>
          <w:i/>
          <w:iCs/>
          <w:szCs w:val="18"/>
          <w:lang w:val="en-US"/>
        </w:rPr>
        <w:t>Table</w:t>
      </w:r>
      <w:r>
        <w:rPr>
          <w:rFonts w:cs="Arial"/>
          <w:i/>
          <w:iCs/>
          <w:szCs w:val="18"/>
          <w:lang w:val="en-US"/>
        </w:rPr>
        <w:t xml:space="preserve"> 2</w:t>
      </w:r>
      <w:r w:rsidR="00A95C0D">
        <w:rPr>
          <w:rFonts w:cs="Arial"/>
          <w:i/>
          <w:iCs/>
          <w:szCs w:val="18"/>
          <w:lang w:val="en-US"/>
        </w:rPr>
        <w:t>:</w:t>
      </w:r>
      <w:r w:rsidRPr="0045083C">
        <w:rPr>
          <w:rFonts w:cs="Arial"/>
          <w:i/>
          <w:iCs/>
          <w:szCs w:val="18"/>
          <w:lang w:val="en-US"/>
        </w:rPr>
        <w:t xml:space="preserve"> Validation of the methodology with experimental data reported by</w:t>
      </w:r>
      <w:r>
        <w:rPr>
          <w:rFonts w:cs="Arial"/>
          <w:i/>
          <w:iCs/>
          <w:szCs w:val="18"/>
          <w:lang w:val="en-US"/>
        </w:rPr>
        <w:t xml:space="preserve"> Barros et al. </w:t>
      </w:r>
      <w:r>
        <w:rPr>
          <w:rFonts w:cs="Arial"/>
          <w:iCs/>
          <w:color w:val="000000"/>
          <w:szCs w:val="18"/>
          <w:lang w:val="en-US"/>
        </w:rPr>
        <w:t>(2022)</w:t>
      </w:r>
      <w:r w:rsidRPr="0045083C">
        <w:rPr>
          <w:rFonts w:cs="Arial"/>
          <w:i/>
          <w:iCs/>
          <w:color w:val="000000"/>
          <w:szCs w:val="18"/>
          <w:lang w:val="en-US"/>
        </w:rPr>
        <w:t>.</w:t>
      </w:r>
    </w:p>
    <w:tbl>
      <w:tblPr>
        <w:tblW w:w="8799" w:type="dxa"/>
        <w:jc w:val="center"/>
        <w:tblCellMar>
          <w:left w:w="70" w:type="dxa"/>
          <w:right w:w="70" w:type="dxa"/>
        </w:tblCellMar>
        <w:tblLook w:val="04A0" w:firstRow="1" w:lastRow="0" w:firstColumn="1" w:lastColumn="0" w:noHBand="0" w:noVBand="1"/>
      </w:tblPr>
      <w:tblGrid>
        <w:gridCol w:w="1242"/>
        <w:gridCol w:w="1060"/>
        <w:gridCol w:w="675"/>
        <w:gridCol w:w="851"/>
        <w:gridCol w:w="992"/>
        <w:gridCol w:w="709"/>
        <w:gridCol w:w="992"/>
        <w:gridCol w:w="461"/>
        <w:gridCol w:w="1276"/>
        <w:gridCol w:w="541"/>
      </w:tblGrid>
      <w:tr w:rsidR="00093B95" w:rsidRPr="00D86C97" w14:paraId="6AA5AB9F" w14:textId="77777777" w:rsidTr="00A50873">
        <w:trPr>
          <w:trHeight w:val="261"/>
          <w:jc w:val="center"/>
        </w:trPr>
        <w:tc>
          <w:tcPr>
            <w:tcW w:w="1242" w:type="dxa"/>
            <w:tcBorders>
              <w:top w:val="nil"/>
              <w:left w:val="nil"/>
              <w:bottom w:val="single" w:sz="4" w:space="0" w:color="00B050"/>
              <w:right w:val="nil"/>
            </w:tcBorders>
            <w:shd w:val="clear" w:color="000000" w:fill="FFFFFF"/>
            <w:noWrap/>
            <w:vAlign w:val="center"/>
            <w:hideMark/>
          </w:tcPr>
          <w:p w14:paraId="1890787A"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 </w:t>
            </w:r>
          </w:p>
        </w:tc>
        <w:tc>
          <w:tcPr>
            <w:tcW w:w="1060" w:type="dxa"/>
            <w:tcBorders>
              <w:top w:val="nil"/>
              <w:left w:val="nil"/>
              <w:bottom w:val="single" w:sz="4" w:space="0" w:color="00B050"/>
              <w:right w:val="nil"/>
            </w:tcBorders>
            <w:shd w:val="clear" w:color="000000" w:fill="FFFFFF"/>
            <w:noWrap/>
            <w:vAlign w:val="center"/>
            <w:hideMark/>
          </w:tcPr>
          <w:p w14:paraId="796A9DC2"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 </w:t>
            </w:r>
          </w:p>
        </w:tc>
        <w:tc>
          <w:tcPr>
            <w:tcW w:w="1526" w:type="dxa"/>
            <w:gridSpan w:val="2"/>
            <w:tcBorders>
              <w:top w:val="single" w:sz="4" w:space="0" w:color="00B050"/>
              <w:left w:val="nil"/>
              <w:bottom w:val="single" w:sz="4" w:space="0" w:color="00B050"/>
              <w:right w:val="nil"/>
            </w:tcBorders>
            <w:shd w:val="clear" w:color="000000" w:fill="FFFFFF"/>
            <w:noWrap/>
            <w:vAlign w:val="center"/>
            <w:hideMark/>
          </w:tcPr>
          <w:p w14:paraId="0A331996"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H</w:t>
            </w:r>
            <w:r w:rsidRPr="00433AF5">
              <w:rPr>
                <w:rFonts w:cs="Arial"/>
                <w:color w:val="000000"/>
                <w:sz w:val="16"/>
                <w:szCs w:val="16"/>
                <w:vertAlign w:val="subscript"/>
                <w:lang w:eastAsia="pt-BR"/>
              </w:rPr>
              <w:t>2</w:t>
            </w:r>
            <w:r w:rsidRPr="0045083C">
              <w:rPr>
                <w:rFonts w:cs="Arial"/>
                <w:color w:val="000000"/>
                <w:sz w:val="16"/>
                <w:szCs w:val="16"/>
                <w:lang w:eastAsia="pt-BR"/>
              </w:rPr>
              <w:t xml:space="preserve"> (% mol)</w:t>
            </w:r>
          </w:p>
        </w:tc>
        <w:tc>
          <w:tcPr>
            <w:tcW w:w="1701" w:type="dxa"/>
            <w:gridSpan w:val="2"/>
            <w:tcBorders>
              <w:top w:val="single" w:sz="4" w:space="0" w:color="00B050"/>
              <w:left w:val="nil"/>
              <w:bottom w:val="single" w:sz="4" w:space="0" w:color="00B050"/>
              <w:right w:val="nil"/>
            </w:tcBorders>
            <w:shd w:val="clear" w:color="000000" w:fill="FFFFFF"/>
            <w:noWrap/>
            <w:vAlign w:val="center"/>
            <w:hideMark/>
          </w:tcPr>
          <w:p w14:paraId="65693794" w14:textId="77777777" w:rsidR="00093B95" w:rsidRPr="00D86C97" w:rsidRDefault="00093B95" w:rsidP="00A95C0D">
            <w:pPr>
              <w:spacing w:line="240" w:lineRule="auto"/>
              <w:jc w:val="center"/>
              <w:rPr>
                <w:rFonts w:cs="Arial"/>
                <w:color w:val="000000"/>
                <w:sz w:val="16"/>
                <w:szCs w:val="16"/>
                <w:lang w:eastAsia="pt-BR"/>
              </w:rPr>
            </w:pPr>
            <w:r>
              <w:rPr>
                <w:rFonts w:cs="Arial"/>
                <w:color w:val="000000"/>
                <w:sz w:val="16"/>
                <w:szCs w:val="16"/>
                <w:lang w:eastAsia="pt-BR"/>
              </w:rPr>
              <w:t>CH</w:t>
            </w:r>
            <w:r w:rsidRPr="00433AF5">
              <w:rPr>
                <w:rFonts w:cs="Arial"/>
                <w:color w:val="000000"/>
                <w:sz w:val="16"/>
                <w:szCs w:val="16"/>
                <w:vertAlign w:val="subscript"/>
                <w:lang w:eastAsia="pt-BR"/>
              </w:rPr>
              <w:t>4</w:t>
            </w:r>
            <w:r w:rsidRPr="0045083C">
              <w:rPr>
                <w:rFonts w:cs="Arial"/>
                <w:color w:val="000000"/>
                <w:sz w:val="16"/>
                <w:szCs w:val="16"/>
                <w:lang w:eastAsia="pt-BR"/>
              </w:rPr>
              <w:t xml:space="preserve"> (% mol)</w:t>
            </w:r>
          </w:p>
        </w:tc>
        <w:tc>
          <w:tcPr>
            <w:tcW w:w="1453" w:type="dxa"/>
            <w:gridSpan w:val="2"/>
            <w:tcBorders>
              <w:top w:val="single" w:sz="4" w:space="0" w:color="00B050"/>
              <w:left w:val="nil"/>
              <w:bottom w:val="single" w:sz="4" w:space="0" w:color="00B050"/>
              <w:right w:val="nil"/>
            </w:tcBorders>
            <w:shd w:val="clear" w:color="000000" w:fill="FFFFFF"/>
            <w:noWrap/>
            <w:vAlign w:val="center"/>
            <w:hideMark/>
          </w:tcPr>
          <w:p w14:paraId="1086096D" w14:textId="77777777" w:rsidR="00093B95" w:rsidRPr="00D86C97" w:rsidRDefault="00093B95" w:rsidP="00A95C0D">
            <w:pPr>
              <w:spacing w:line="240" w:lineRule="auto"/>
              <w:jc w:val="center"/>
              <w:rPr>
                <w:rFonts w:cs="Arial"/>
                <w:color w:val="000000"/>
                <w:sz w:val="16"/>
                <w:szCs w:val="16"/>
                <w:lang w:eastAsia="pt-BR"/>
              </w:rPr>
            </w:pPr>
            <w:r>
              <w:rPr>
                <w:rFonts w:cs="Arial"/>
                <w:color w:val="000000"/>
                <w:sz w:val="16"/>
                <w:szCs w:val="16"/>
                <w:lang w:eastAsia="pt-BR"/>
              </w:rPr>
              <w:t>CO</w:t>
            </w:r>
            <w:r w:rsidRPr="0045083C">
              <w:rPr>
                <w:rFonts w:cs="Arial"/>
                <w:color w:val="000000"/>
                <w:sz w:val="16"/>
                <w:szCs w:val="16"/>
                <w:lang w:eastAsia="pt-BR"/>
              </w:rPr>
              <w:t xml:space="preserve"> (% mol)</w:t>
            </w:r>
          </w:p>
        </w:tc>
        <w:tc>
          <w:tcPr>
            <w:tcW w:w="1817" w:type="dxa"/>
            <w:gridSpan w:val="2"/>
            <w:tcBorders>
              <w:top w:val="single" w:sz="4" w:space="0" w:color="00B050"/>
              <w:left w:val="nil"/>
              <w:bottom w:val="single" w:sz="4" w:space="0" w:color="00B050"/>
              <w:right w:val="nil"/>
            </w:tcBorders>
            <w:shd w:val="clear" w:color="000000" w:fill="FFFFFF"/>
            <w:noWrap/>
            <w:vAlign w:val="center"/>
            <w:hideMark/>
          </w:tcPr>
          <w:p w14:paraId="01245A37" w14:textId="77777777" w:rsidR="00093B95" w:rsidRPr="00D86C97" w:rsidRDefault="00093B95" w:rsidP="00A95C0D">
            <w:pPr>
              <w:spacing w:line="240" w:lineRule="auto"/>
              <w:jc w:val="center"/>
              <w:rPr>
                <w:rFonts w:cs="Arial"/>
                <w:color w:val="000000"/>
                <w:sz w:val="16"/>
                <w:szCs w:val="16"/>
                <w:lang w:eastAsia="pt-BR"/>
              </w:rPr>
            </w:pPr>
            <w:r>
              <w:rPr>
                <w:rFonts w:cs="Arial"/>
                <w:color w:val="000000"/>
                <w:sz w:val="16"/>
                <w:szCs w:val="16"/>
                <w:lang w:eastAsia="pt-BR"/>
              </w:rPr>
              <w:t>CO</w:t>
            </w:r>
            <w:r w:rsidRPr="00433AF5">
              <w:rPr>
                <w:rFonts w:cs="Arial"/>
                <w:color w:val="000000"/>
                <w:sz w:val="16"/>
                <w:szCs w:val="16"/>
                <w:vertAlign w:val="subscript"/>
                <w:lang w:eastAsia="pt-BR"/>
              </w:rPr>
              <w:t>2</w:t>
            </w:r>
            <w:r w:rsidRPr="0045083C">
              <w:rPr>
                <w:rFonts w:cs="Arial"/>
                <w:color w:val="000000"/>
                <w:sz w:val="16"/>
                <w:szCs w:val="16"/>
                <w:lang w:eastAsia="pt-BR"/>
              </w:rPr>
              <w:t xml:space="preserve"> (% mol)</w:t>
            </w:r>
          </w:p>
        </w:tc>
      </w:tr>
      <w:tr w:rsidR="00093B95" w:rsidRPr="00D86C97" w14:paraId="26ED2CA3" w14:textId="77777777" w:rsidTr="00A50873">
        <w:trPr>
          <w:trHeight w:val="563"/>
          <w:jc w:val="center"/>
        </w:trPr>
        <w:tc>
          <w:tcPr>
            <w:tcW w:w="1242" w:type="dxa"/>
            <w:tcBorders>
              <w:top w:val="single" w:sz="4" w:space="0" w:color="00B050"/>
              <w:left w:val="nil"/>
              <w:bottom w:val="single" w:sz="4" w:space="0" w:color="00B050"/>
              <w:right w:val="nil"/>
            </w:tcBorders>
            <w:shd w:val="clear" w:color="000000" w:fill="FFFFFF"/>
            <w:vAlign w:val="center"/>
            <w:hideMark/>
          </w:tcPr>
          <w:p w14:paraId="70B5E314"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Feed Concentration (% wt)</w:t>
            </w:r>
          </w:p>
        </w:tc>
        <w:tc>
          <w:tcPr>
            <w:tcW w:w="1060" w:type="dxa"/>
            <w:tcBorders>
              <w:top w:val="single" w:sz="4" w:space="0" w:color="00B050"/>
              <w:left w:val="nil"/>
              <w:bottom w:val="single" w:sz="4" w:space="0" w:color="00B050"/>
              <w:right w:val="nil"/>
            </w:tcBorders>
            <w:shd w:val="clear" w:color="000000" w:fill="FFFFFF"/>
            <w:vAlign w:val="center"/>
            <w:hideMark/>
          </w:tcPr>
          <w:p w14:paraId="0CD56649"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Temperature (K)</w:t>
            </w:r>
          </w:p>
        </w:tc>
        <w:tc>
          <w:tcPr>
            <w:tcW w:w="675" w:type="dxa"/>
            <w:tcBorders>
              <w:top w:val="single" w:sz="4" w:space="0" w:color="00B050"/>
              <w:left w:val="nil"/>
              <w:bottom w:val="single" w:sz="4" w:space="0" w:color="00B050"/>
              <w:right w:val="nil"/>
            </w:tcBorders>
            <w:shd w:val="clear" w:color="000000" w:fill="FFFFFF"/>
            <w:noWrap/>
            <w:vAlign w:val="center"/>
            <w:hideMark/>
          </w:tcPr>
          <w:p w14:paraId="71C1C746"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Sim</w:t>
            </w:r>
            <w:r>
              <w:rPr>
                <w:rFonts w:cs="Arial"/>
                <w:color w:val="000000"/>
                <w:sz w:val="16"/>
                <w:szCs w:val="16"/>
                <w:lang w:eastAsia="pt-BR"/>
              </w:rPr>
              <w:t>.</w:t>
            </w:r>
          </w:p>
        </w:tc>
        <w:tc>
          <w:tcPr>
            <w:tcW w:w="851" w:type="dxa"/>
            <w:tcBorders>
              <w:top w:val="single" w:sz="4" w:space="0" w:color="00B050"/>
              <w:left w:val="nil"/>
              <w:bottom w:val="single" w:sz="4" w:space="0" w:color="00B050"/>
              <w:right w:val="nil"/>
            </w:tcBorders>
            <w:shd w:val="clear" w:color="000000" w:fill="FFFFFF"/>
            <w:noWrap/>
            <w:vAlign w:val="center"/>
            <w:hideMark/>
          </w:tcPr>
          <w:p w14:paraId="3206B095"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Exp</w:t>
            </w:r>
            <w:r>
              <w:rPr>
                <w:rFonts w:cs="Arial"/>
                <w:color w:val="000000"/>
                <w:sz w:val="16"/>
                <w:szCs w:val="16"/>
                <w:lang w:eastAsia="pt-BR"/>
              </w:rPr>
              <w:t>.</w:t>
            </w:r>
          </w:p>
        </w:tc>
        <w:tc>
          <w:tcPr>
            <w:tcW w:w="992" w:type="dxa"/>
            <w:tcBorders>
              <w:top w:val="single" w:sz="4" w:space="0" w:color="00B050"/>
              <w:left w:val="nil"/>
              <w:bottom w:val="single" w:sz="4" w:space="0" w:color="00B050"/>
              <w:right w:val="nil"/>
            </w:tcBorders>
            <w:shd w:val="clear" w:color="000000" w:fill="FFFFFF"/>
            <w:noWrap/>
            <w:vAlign w:val="center"/>
            <w:hideMark/>
          </w:tcPr>
          <w:p w14:paraId="45B10A30"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Sim</w:t>
            </w:r>
            <w:r>
              <w:rPr>
                <w:rFonts w:cs="Arial"/>
                <w:color w:val="000000"/>
                <w:sz w:val="16"/>
                <w:szCs w:val="16"/>
                <w:lang w:eastAsia="pt-BR"/>
              </w:rPr>
              <w:t>.</w:t>
            </w:r>
          </w:p>
        </w:tc>
        <w:tc>
          <w:tcPr>
            <w:tcW w:w="709" w:type="dxa"/>
            <w:tcBorders>
              <w:top w:val="single" w:sz="4" w:space="0" w:color="00B050"/>
              <w:left w:val="nil"/>
              <w:bottom w:val="single" w:sz="4" w:space="0" w:color="00B050"/>
              <w:right w:val="nil"/>
            </w:tcBorders>
            <w:shd w:val="clear" w:color="000000" w:fill="FFFFFF"/>
            <w:noWrap/>
            <w:vAlign w:val="center"/>
            <w:hideMark/>
          </w:tcPr>
          <w:p w14:paraId="33E0A6E9"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Exp</w:t>
            </w:r>
            <w:r>
              <w:rPr>
                <w:rFonts w:cs="Arial"/>
                <w:color w:val="000000"/>
                <w:sz w:val="16"/>
                <w:szCs w:val="16"/>
                <w:lang w:eastAsia="pt-BR"/>
              </w:rPr>
              <w:t>.</w:t>
            </w:r>
          </w:p>
        </w:tc>
        <w:tc>
          <w:tcPr>
            <w:tcW w:w="992" w:type="dxa"/>
            <w:tcBorders>
              <w:top w:val="single" w:sz="4" w:space="0" w:color="00B050"/>
              <w:left w:val="nil"/>
              <w:bottom w:val="single" w:sz="4" w:space="0" w:color="00B050"/>
              <w:right w:val="nil"/>
            </w:tcBorders>
            <w:shd w:val="clear" w:color="000000" w:fill="FFFFFF"/>
            <w:noWrap/>
            <w:vAlign w:val="center"/>
            <w:hideMark/>
          </w:tcPr>
          <w:p w14:paraId="4C6FF975"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Sim</w:t>
            </w:r>
            <w:r>
              <w:rPr>
                <w:rFonts w:cs="Arial"/>
                <w:color w:val="000000"/>
                <w:sz w:val="16"/>
                <w:szCs w:val="16"/>
                <w:lang w:eastAsia="pt-BR"/>
              </w:rPr>
              <w:t>.</w:t>
            </w:r>
          </w:p>
        </w:tc>
        <w:tc>
          <w:tcPr>
            <w:tcW w:w="461" w:type="dxa"/>
            <w:tcBorders>
              <w:top w:val="single" w:sz="4" w:space="0" w:color="00B050"/>
              <w:left w:val="nil"/>
              <w:bottom w:val="single" w:sz="4" w:space="0" w:color="00B050"/>
              <w:right w:val="nil"/>
            </w:tcBorders>
            <w:shd w:val="clear" w:color="000000" w:fill="FFFFFF"/>
            <w:noWrap/>
            <w:vAlign w:val="center"/>
            <w:hideMark/>
          </w:tcPr>
          <w:p w14:paraId="7EC1DBE9"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Exp</w:t>
            </w:r>
            <w:r>
              <w:rPr>
                <w:rFonts w:cs="Arial"/>
                <w:color w:val="000000"/>
                <w:sz w:val="16"/>
                <w:szCs w:val="16"/>
                <w:lang w:eastAsia="pt-BR"/>
              </w:rPr>
              <w:t>.</w:t>
            </w:r>
          </w:p>
        </w:tc>
        <w:tc>
          <w:tcPr>
            <w:tcW w:w="1276" w:type="dxa"/>
            <w:tcBorders>
              <w:top w:val="single" w:sz="4" w:space="0" w:color="00B050"/>
              <w:left w:val="nil"/>
              <w:bottom w:val="single" w:sz="4" w:space="0" w:color="00B050"/>
              <w:right w:val="nil"/>
            </w:tcBorders>
            <w:shd w:val="clear" w:color="000000" w:fill="FFFFFF"/>
            <w:noWrap/>
            <w:vAlign w:val="center"/>
            <w:hideMark/>
          </w:tcPr>
          <w:p w14:paraId="6E1E74C0"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Sim</w:t>
            </w:r>
            <w:r>
              <w:rPr>
                <w:rFonts w:cs="Arial"/>
                <w:color w:val="000000"/>
                <w:sz w:val="16"/>
                <w:szCs w:val="16"/>
                <w:lang w:eastAsia="pt-BR"/>
              </w:rPr>
              <w:t>.</w:t>
            </w:r>
          </w:p>
        </w:tc>
        <w:tc>
          <w:tcPr>
            <w:tcW w:w="541" w:type="dxa"/>
            <w:tcBorders>
              <w:top w:val="single" w:sz="4" w:space="0" w:color="00B050"/>
              <w:left w:val="nil"/>
              <w:bottom w:val="single" w:sz="4" w:space="0" w:color="00B050"/>
              <w:right w:val="nil"/>
            </w:tcBorders>
            <w:shd w:val="clear" w:color="000000" w:fill="FFFFFF"/>
            <w:noWrap/>
            <w:vAlign w:val="center"/>
            <w:hideMark/>
          </w:tcPr>
          <w:p w14:paraId="2171D460"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Exp</w:t>
            </w:r>
            <w:r>
              <w:rPr>
                <w:rFonts w:cs="Arial"/>
                <w:color w:val="000000"/>
                <w:sz w:val="16"/>
                <w:szCs w:val="16"/>
                <w:lang w:eastAsia="pt-BR"/>
              </w:rPr>
              <w:t>.</w:t>
            </w:r>
          </w:p>
        </w:tc>
      </w:tr>
      <w:tr w:rsidR="00093B95" w:rsidRPr="00D86C97" w14:paraId="7C3DC47D" w14:textId="77777777" w:rsidTr="00A50873">
        <w:trPr>
          <w:trHeight w:val="261"/>
          <w:jc w:val="center"/>
        </w:trPr>
        <w:tc>
          <w:tcPr>
            <w:tcW w:w="1242" w:type="dxa"/>
            <w:tcBorders>
              <w:top w:val="single" w:sz="4" w:space="0" w:color="00B050"/>
              <w:left w:val="nil"/>
              <w:bottom w:val="nil"/>
              <w:right w:val="nil"/>
            </w:tcBorders>
            <w:shd w:val="clear" w:color="000000" w:fill="FFFFFF"/>
            <w:noWrap/>
            <w:vAlign w:val="center"/>
            <w:hideMark/>
          </w:tcPr>
          <w:p w14:paraId="73D620CF"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0.10</w:t>
            </w:r>
          </w:p>
        </w:tc>
        <w:tc>
          <w:tcPr>
            <w:tcW w:w="1060" w:type="dxa"/>
            <w:tcBorders>
              <w:top w:val="single" w:sz="4" w:space="0" w:color="00B050"/>
              <w:left w:val="nil"/>
              <w:bottom w:val="nil"/>
              <w:right w:val="nil"/>
            </w:tcBorders>
            <w:shd w:val="clear" w:color="000000" w:fill="FFFFFF"/>
            <w:noWrap/>
            <w:vAlign w:val="center"/>
            <w:hideMark/>
          </w:tcPr>
          <w:p w14:paraId="78B59CDB"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773.15</w:t>
            </w:r>
          </w:p>
        </w:tc>
        <w:tc>
          <w:tcPr>
            <w:tcW w:w="675" w:type="dxa"/>
            <w:tcBorders>
              <w:top w:val="single" w:sz="4" w:space="0" w:color="00B050"/>
              <w:left w:val="nil"/>
              <w:bottom w:val="nil"/>
              <w:right w:val="nil"/>
            </w:tcBorders>
            <w:shd w:val="clear" w:color="000000" w:fill="FFFFFF"/>
            <w:noWrap/>
            <w:vAlign w:val="center"/>
            <w:hideMark/>
          </w:tcPr>
          <w:p w14:paraId="6A4F80E8"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65.08</w:t>
            </w:r>
          </w:p>
        </w:tc>
        <w:tc>
          <w:tcPr>
            <w:tcW w:w="851" w:type="dxa"/>
            <w:tcBorders>
              <w:top w:val="single" w:sz="4" w:space="0" w:color="00B050"/>
              <w:left w:val="nil"/>
              <w:bottom w:val="nil"/>
              <w:right w:val="nil"/>
            </w:tcBorders>
            <w:shd w:val="clear" w:color="000000" w:fill="FFFFFF"/>
            <w:noWrap/>
            <w:vAlign w:val="center"/>
            <w:hideMark/>
          </w:tcPr>
          <w:p w14:paraId="07112E29"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64.41</w:t>
            </w:r>
          </w:p>
        </w:tc>
        <w:tc>
          <w:tcPr>
            <w:tcW w:w="992" w:type="dxa"/>
            <w:tcBorders>
              <w:top w:val="single" w:sz="4" w:space="0" w:color="00B050"/>
              <w:left w:val="nil"/>
              <w:bottom w:val="nil"/>
              <w:right w:val="nil"/>
            </w:tcBorders>
            <w:shd w:val="clear" w:color="000000" w:fill="FFFFFF"/>
            <w:noWrap/>
            <w:vAlign w:val="center"/>
            <w:hideMark/>
          </w:tcPr>
          <w:p w14:paraId="39248142" w14:textId="77777777" w:rsidR="00093B95" w:rsidRPr="00D86C97" w:rsidRDefault="00FA2B2B" w:rsidP="00A95C0D">
            <w:pPr>
              <w:spacing w:line="240" w:lineRule="auto"/>
              <w:jc w:val="center"/>
              <w:rPr>
                <w:rFonts w:cs="Arial"/>
                <w:color w:val="000000"/>
                <w:sz w:val="16"/>
                <w:szCs w:val="16"/>
                <w:lang w:eastAsia="pt-BR"/>
              </w:rPr>
            </w:pPr>
            <w:r>
              <w:rPr>
                <w:color w:val="000000"/>
                <w:sz w:val="16"/>
                <w:szCs w:val="16"/>
              </w:rPr>
              <w:t xml:space="preserve"> </w:t>
            </w:r>
            <w:r w:rsidR="00093B95" w:rsidRPr="00470861">
              <w:rPr>
                <w:color w:val="000000"/>
                <w:sz w:val="16"/>
                <w:szCs w:val="16"/>
              </w:rPr>
              <w:t>2.26</w:t>
            </w:r>
          </w:p>
        </w:tc>
        <w:tc>
          <w:tcPr>
            <w:tcW w:w="709" w:type="dxa"/>
            <w:tcBorders>
              <w:top w:val="single" w:sz="4" w:space="0" w:color="00B050"/>
              <w:left w:val="nil"/>
              <w:bottom w:val="nil"/>
              <w:right w:val="nil"/>
            </w:tcBorders>
            <w:shd w:val="clear" w:color="000000" w:fill="FFFFFF"/>
            <w:noWrap/>
            <w:vAlign w:val="center"/>
            <w:hideMark/>
          </w:tcPr>
          <w:p w14:paraId="487F9AD1" w14:textId="77777777" w:rsidR="00093B95" w:rsidRPr="00D86C97" w:rsidRDefault="00FA2B2B" w:rsidP="00A95C0D">
            <w:pPr>
              <w:spacing w:line="240" w:lineRule="auto"/>
              <w:jc w:val="center"/>
              <w:rPr>
                <w:rFonts w:cs="Arial"/>
                <w:color w:val="000000"/>
                <w:sz w:val="16"/>
                <w:szCs w:val="16"/>
                <w:lang w:eastAsia="pt-BR"/>
              </w:rPr>
            </w:pPr>
            <w:r>
              <w:rPr>
                <w:color w:val="000000"/>
                <w:sz w:val="16"/>
                <w:szCs w:val="16"/>
              </w:rPr>
              <w:t xml:space="preserve"> </w:t>
            </w:r>
            <w:r w:rsidR="00093B95" w:rsidRPr="00470861">
              <w:rPr>
                <w:color w:val="000000"/>
                <w:sz w:val="16"/>
                <w:szCs w:val="16"/>
              </w:rPr>
              <w:t>4.01</w:t>
            </w:r>
          </w:p>
        </w:tc>
        <w:tc>
          <w:tcPr>
            <w:tcW w:w="992" w:type="dxa"/>
            <w:tcBorders>
              <w:top w:val="single" w:sz="4" w:space="0" w:color="00B050"/>
              <w:left w:val="nil"/>
              <w:bottom w:val="nil"/>
              <w:right w:val="nil"/>
            </w:tcBorders>
            <w:shd w:val="clear" w:color="000000" w:fill="FFFFFF"/>
            <w:noWrap/>
            <w:vAlign w:val="center"/>
            <w:hideMark/>
          </w:tcPr>
          <w:p w14:paraId="62631599"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0.00</w:t>
            </w:r>
          </w:p>
        </w:tc>
        <w:tc>
          <w:tcPr>
            <w:tcW w:w="461" w:type="dxa"/>
            <w:tcBorders>
              <w:top w:val="single" w:sz="4" w:space="0" w:color="00B050"/>
              <w:left w:val="nil"/>
              <w:bottom w:val="nil"/>
              <w:right w:val="nil"/>
            </w:tcBorders>
            <w:shd w:val="clear" w:color="000000" w:fill="FFFFFF"/>
            <w:noWrap/>
            <w:vAlign w:val="center"/>
            <w:hideMark/>
          </w:tcPr>
          <w:p w14:paraId="0E4067FA"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n.d.</w:t>
            </w:r>
          </w:p>
        </w:tc>
        <w:tc>
          <w:tcPr>
            <w:tcW w:w="1276" w:type="dxa"/>
            <w:tcBorders>
              <w:top w:val="single" w:sz="4" w:space="0" w:color="00B050"/>
              <w:left w:val="nil"/>
              <w:bottom w:val="nil"/>
              <w:right w:val="nil"/>
            </w:tcBorders>
            <w:shd w:val="clear" w:color="000000" w:fill="FFFFFF"/>
            <w:noWrap/>
            <w:vAlign w:val="center"/>
            <w:hideMark/>
          </w:tcPr>
          <w:p w14:paraId="57E189AE"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32.40</w:t>
            </w:r>
          </w:p>
        </w:tc>
        <w:tc>
          <w:tcPr>
            <w:tcW w:w="541" w:type="dxa"/>
            <w:tcBorders>
              <w:top w:val="single" w:sz="4" w:space="0" w:color="00B050"/>
              <w:left w:val="nil"/>
              <w:bottom w:val="nil"/>
              <w:right w:val="nil"/>
            </w:tcBorders>
            <w:shd w:val="clear" w:color="000000" w:fill="FFFFFF"/>
            <w:noWrap/>
            <w:vAlign w:val="center"/>
            <w:hideMark/>
          </w:tcPr>
          <w:p w14:paraId="026BCA55"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31.34</w:t>
            </w:r>
          </w:p>
        </w:tc>
      </w:tr>
      <w:tr w:rsidR="00093B95" w:rsidRPr="00D86C97" w14:paraId="6CC84090" w14:textId="77777777" w:rsidTr="00A50873">
        <w:trPr>
          <w:trHeight w:val="261"/>
          <w:jc w:val="center"/>
        </w:trPr>
        <w:tc>
          <w:tcPr>
            <w:tcW w:w="1242" w:type="dxa"/>
            <w:tcBorders>
              <w:top w:val="nil"/>
              <w:left w:val="nil"/>
              <w:bottom w:val="nil"/>
              <w:right w:val="nil"/>
            </w:tcBorders>
            <w:shd w:val="clear" w:color="000000" w:fill="FFFFFF"/>
            <w:noWrap/>
            <w:vAlign w:val="center"/>
            <w:hideMark/>
          </w:tcPr>
          <w:p w14:paraId="68A7F6A8"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2.55</w:t>
            </w:r>
          </w:p>
        </w:tc>
        <w:tc>
          <w:tcPr>
            <w:tcW w:w="1060" w:type="dxa"/>
            <w:tcBorders>
              <w:top w:val="nil"/>
              <w:left w:val="nil"/>
              <w:bottom w:val="nil"/>
              <w:right w:val="nil"/>
            </w:tcBorders>
            <w:shd w:val="clear" w:color="000000" w:fill="FFFFFF"/>
            <w:noWrap/>
            <w:vAlign w:val="center"/>
            <w:hideMark/>
          </w:tcPr>
          <w:p w14:paraId="0EAE768F"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698.15</w:t>
            </w:r>
          </w:p>
        </w:tc>
        <w:tc>
          <w:tcPr>
            <w:tcW w:w="675" w:type="dxa"/>
            <w:tcBorders>
              <w:top w:val="nil"/>
              <w:left w:val="nil"/>
              <w:bottom w:val="nil"/>
              <w:right w:val="nil"/>
            </w:tcBorders>
            <w:shd w:val="clear" w:color="000000" w:fill="FFFFFF"/>
            <w:noWrap/>
            <w:vAlign w:val="center"/>
            <w:hideMark/>
          </w:tcPr>
          <w:p w14:paraId="5606F229"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69.23</w:t>
            </w:r>
          </w:p>
        </w:tc>
        <w:tc>
          <w:tcPr>
            <w:tcW w:w="851" w:type="dxa"/>
            <w:tcBorders>
              <w:top w:val="nil"/>
              <w:left w:val="nil"/>
              <w:bottom w:val="nil"/>
              <w:right w:val="nil"/>
            </w:tcBorders>
            <w:shd w:val="clear" w:color="000000" w:fill="FFFFFF"/>
            <w:noWrap/>
            <w:vAlign w:val="center"/>
            <w:hideMark/>
          </w:tcPr>
          <w:p w14:paraId="63850129"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69.04</w:t>
            </w:r>
          </w:p>
        </w:tc>
        <w:tc>
          <w:tcPr>
            <w:tcW w:w="992" w:type="dxa"/>
            <w:tcBorders>
              <w:top w:val="nil"/>
              <w:left w:val="nil"/>
              <w:bottom w:val="nil"/>
              <w:right w:val="nil"/>
            </w:tcBorders>
            <w:shd w:val="clear" w:color="000000" w:fill="FFFFFF"/>
            <w:noWrap/>
            <w:vAlign w:val="center"/>
            <w:hideMark/>
          </w:tcPr>
          <w:p w14:paraId="008A5BD0"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29.82</w:t>
            </w:r>
          </w:p>
        </w:tc>
        <w:tc>
          <w:tcPr>
            <w:tcW w:w="709" w:type="dxa"/>
            <w:tcBorders>
              <w:top w:val="nil"/>
              <w:left w:val="nil"/>
              <w:bottom w:val="nil"/>
              <w:right w:val="nil"/>
            </w:tcBorders>
            <w:shd w:val="clear" w:color="000000" w:fill="FFFFFF"/>
            <w:noWrap/>
            <w:vAlign w:val="center"/>
            <w:hideMark/>
          </w:tcPr>
          <w:p w14:paraId="56F0ECD7"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28.75</w:t>
            </w:r>
          </w:p>
        </w:tc>
        <w:tc>
          <w:tcPr>
            <w:tcW w:w="992" w:type="dxa"/>
            <w:tcBorders>
              <w:top w:val="nil"/>
              <w:left w:val="nil"/>
              <w:bottom w:val="nil"/>
              <w:right w:val="nil"/>
            </w:tcBorders>
            <w:shd w:val="clear" w:color="000000" w:fill="FFFFFF"/>
            <w:noWrap/>
            <w:vAlign w:val="center"/>
            <w:hideMark/>
          </w:tcPr>
          <w:p w14:paraId="73BAC95F"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0.03</w:t>
            </w:r>
          </w:p>
        </w:tc>
        <w:tc>
          <w:tcPr>
            <w:tcW w:w="461" w:type="dxa"/>
            <w:tcBorders>
              <w:top w:val="nil"/>
              <w:left w:val="nil"/>
              <w:bottom w:val="nil"/>
              <w:right w:val="nil"/>
            </w:tcBorders>
            <w:shd w:val="clear" w:color="000000" w:fill="FFFFFF"/>
            <w:noWrap/>
            <w:vAlign w:val="center"/>
            <w:hideMark/>
          </w:tcPr>
          <w:p w14:paraId="5FCC41F0"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n.d.</w:t>
            </w:r>
          </w:p>
        </w:tc>
        <w:tc>
          <w:tcPr>
            <w:tcW w:w="1276" w:type="dxa"/>
            <w:tcBorders>
              <w:top w:val="nil"/>
              <w:left w:val="nil"/>
              <w:bottom w:val="nil"/>
              <w:right w:val="nil"/>
            </w:tcBorders>
            <w:shd w:val="clear" w:color="000000" w:fill="FFFFFF"/>
            <w:noWrap/>
            <w:vAlign w:val="center"/>
            <w:hideMark/>
          </w:tcPr>
          <w:p w14:paraId="3A0A7AEA"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36.65</w:t>
            </w:r>
          </w:p>
        </w:tc>
        <w:tc>
          <w:tcPr>
            <w:tcW w:w="541" w:type="dxa"/>
            <w:tcBorders>
              <w:top w:val="nil"/>
              <w:left w:val="nil"/>
              <w:bottom w:val="nil"/>
              <w:right w:val="nil"/>
            </w:tcBorders>
            <w:shd w:val="clear" w:color="000000" w:fill="FFFFFF"/>
            <w:noWrap/>
            <w:vAlign w:val="center"/>
            <w:hideMark/>
          </w:tcPr>
          <w:p w14:paraId="3F1A3DF9"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n.d.</w:t>
            </w:r>
          </w:p>
        </w:tc>
      </w:tr>
      <w:tr w:rsidR="00093B95" w:rsidRPr="00D86C97" w14:paraId="0EF5982D" w14:textId="77777777" w:rsidTr="00A50873">
        <w:trPr>
          <w:trHeight w:val="261"/>
          <w:jc w:val="center"/>
        </w:trPr>
        <w:tc>
          <w:tcPr>
            <w:tcW w:w="1242" w:type="dxa"/>
            <w:tcBorders>
              <w:top w:val="nil"/>
              <w:left w:val="nil"/>
              <w:bottom w:val="single" w:sz="4" w:space="0" w:color="00B050"/>
              <w:right w:val="nil"/>
            </w:tcBorders>
            <w:shd w:val="clear" w:color="000000" w:fill="FFFFFF"/>
            <w:noWrap/>
            <w:vAlign w:val="center"/>
            <w:hideMark/>
          </w:tcPr>
          <w:p w14:paraId="5961BC9D"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5.00</w:t>
            </w:r>
          </w:p>
        </w:tc>
        <w:tc>
          <w:tcPr>
            <w:tcW w:w="1060" w:type="dxa"/>
            <w:tcBorders>
              <w:top w:val="nil"/>
              <w:left w:val="nil"/>
              <w:bottom w:val="single" w:sz="4" w:space="0" w:color="00B050"/>
              <w:right w:val="nil"/>
            </w:tcBorders>
            <w:shd w:val="clear" w:color="000000" w:fill="FFFFFF"/>
            <w:noWrap/>
            <w:vAlign w:val="center"/>
            <w:hideMark/>
          </w:tcPr>
          <w:p w14:paraId="158DA6E2" w14:textId="77777777" w:rsidR="00093B95" w:rsidRPr="00D86C97" w:rsidRDefault="00093B95" w:rsidP="00A95C0D">
            <w:pPr>
              <w:spacing w:line="240" w:lineRule="auto"/>
              <w:jc w:val="center"/>
              <w:rPr>
                <w:rFonts w:cs="Arial"/>
                <w:color w:val="000000"/>
                <w:sz w:val="16"/>
                <w:szCs w:val="16"/>
                <w:lang w:eastAsia="pt-BR"/>
              </w:rPr>
            </w:pPr>
            <w:r w:rsidRPr="00D86C97">
              <w:rPr>
                <w:rFonts w:cs="Arial"/>
                <w:color w:val="000000"/>
                <w:sz w:val="16"/>
                <w:szCs w:val="16"/>
                <w:lang w:eastAsia="pt-BR"/>
              </w:rPr>
              <w:t>773.15</w:t>
            </w:r>
          </w:p>
        </w:tc>
        <w:tc>
          <w:tcPr>
            <w:tcW w:w="675" w:type="dxa"/>
            <w:tcBorders>
              <w:top w:val="nil"/>
              <w:left w:val="nil"/>
              <w:bottom w:val="single" w:sz="4" w:space="0" w:color="00B050"/>
              <w:right w:val="nil"/>
            </w:tcBorders>
            <w:shd w:val="clear" w:color="000000" w:fill="FFFFFF"/>
            <w:noWrap/>
            <w:vAlign w:val="center"/>
            <w:hideMark/>
          </w:tcPr>
          <w:p w14:paraId="7647E964"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52.44</w:t>
            </w:r>
          </w:p>
        </w:tc>
        <w:tc>
          <w:tcPr>
            <w:tcW w:w="851" w:type="dxa"/>
            <w:tcBorders>
              <w:top w:val="nil"/>
              <w:left w:val="nil"/>
              <w:bottom w:val="single" w:sz="4" w:space="0" w:color="00B050"/>
              <w:right w:val="nil"/>
            </w:tcBorders>
            <w:shd w:val="clear" w:color="000000" w:fill="FFFFFF"/>
            <w:noWrap/>
            <w:vAlign w:val="center"/>
            <w:hideMark/>
          </w:tcPr>
          <w:p w14:paraId="3FD1917F"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53.35</w:t>
            </w:r>
          </w:p>
        </w:tc>
        <w:tc>
          <w:tcPr>
            <w:tcW w:w="992" w:type="dxa"/>
            <w:tcBorders>
              <w:top w:val="nil"/>
              <w:left w:val="nil"/>
              <w:bottom w:val="single" w:sz="4" w:space="0" w:color="00B050"/>
              <w:right w:val="nil"/>
            </w:tcBorders>
            <w:shd w:val="clear" w:color="000000" w:fill="FFFFFF"/>
            <w:noWrap/>
            <w:vAlign w:val="center"/>
            <w:hideMark/>
          </w:tcPr>
          <w:p w14:paraId="65C78BD4" w14:textId="77777777" w:rsidR="00093B95" w:rsidRPr="00D86C97" w:rsidRDefault="00FA2B2B" w:rsidP="00A95C0D">
            <w:pPr>
              <w:spacing w:line="240" w:lineRule="auto"/>
              <w:jc w:val="center"/>
              <w:rPr>
                <w:rFonts w:cs="Arial"/>
                <w:color w:val="000000"/>
                <w:sz w:val="16"/>
                <w:szCs w:val="16"/>
                <w:lang w:eastAsia="pt-BR"/>
              </w:rPr>
            </w:pPr>
            <w:r>
              <w:rPr>
                <w:color w:val="000000"/>
                <w:sz w:val="16"/>
                <w:szCs w:val="16"/>
              </w:rPr>
              <w:t xml:space="preserve"> </w:t>
            </w:r>
            <w:r w:rsidR="00093B95" w:rsidRPr="00470861">
              <w:rPr>
                <w:color w:val="000000"/>
                <w:sz w:val="16"/>
                <w:szCs w:val="16"/>
              </w:rPr>
              <w:t>8.15</w:t>
            </w:r>
          </w:p>
        </w:tc>
        <w:tc>
          <w:tcPr>
            <w:tcW w:w="709" w:type="dxa"/>
            <w:tcBorders>
              <w:top w:val="nil"/>
              <w:left w:val="nil"/>
              <w:bottom w:val="single" w:sz="4" w:space="0" w:color="00B050"/>
              <w:right w:val="nil"/>
            </w:tcBorders>
            <w:shd w:val="clear" w:color="000000" w:fill="FFFFFF"/>
            <w:noWrap/>
            <w:vAlign w:val="center"/>
            <w:hideMark/>
          </w:tcPr>
          <w:p w14:paraId="334C23ED" w14:textId="77777777" w:rsidR="00093B95" w:rsidRPr="00D86C97" w:rsidRDefault="00FA2B2B" w:rsidP="00A95C0D">
            <w:pPr>
              <w:spacing w:line="240" w:lineRule="auto"/>
              <w:jc w:val="center"/>
              <w:rPr>
                <w:rFonts w:cs="Arial"/>
                <w:color w:val="000000"/>
                <w:sz w:val="16"/>
                <w:szCs w:val="16"/>
                <w:lang w:eastAsia="pt-BR"/>
              </w:rPr>
            </w:pPr>
            <w:r>
              <w:rPr>
                <w:color w:val="000000"/>
                <w:sz w:val="16"/>
                <w:szCs w:val="16"/>
              </w:rPr>
              <w:t xml:space="preserve"> </w:t>
            </w:r>
            <w:r w:rsidR="00093B95" w:rsidRPr="00470861">
              <w:rPr>
                <w:color w:val="000000"/>
                <w:sz w:val="16"/>
                <w:szCs w:val="16"/>
              </w:rPr>
              <w:t>7.57</w:t>
            </w:r>
          </w:p>
        </w:tc>
        <w:tc>
          <w:tcPr>
            <w:tcW w:w="992" w:type="dxa"/>
            <w:tcBorders>
              <w:top w:val="nil"/>
              <w:left w:val="nil"/>
              <w:bottom w:val="single" w:sz="4" w:space="0" w:color="00B050"/>
              <w:right w:val="nil"/>
            </w:tcBorders>
            <w:shd w:val="clear" w:color="000000" w:fill="FFFFFF"/>
            <w:noWrap/>
            <w:vAlign w:val="center"/>
            <w:hideMark/>
          </w:tcPr>
          <w:p w14:paraId="0B0B01C2"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0.13</w:t>
            </w:r>
          </w:p>
        </w:tc>
        <w:tc>
          <w:tcPr>
            <w:tcW w:w="461" w:type="dxa"/>
            <w:tcBorders>
              <w:top w:val="nil"/>
              <w:left w:val="nil"/>
              <w:bottom w:val="single" w:sz="4" w:space="0" w:color="00B050"/>
              <w:right w:val="nil"/>
            </w:tcBorders>
            <w:shd w:val="clear" w:color="000000" w:fill="FFFFFF"/>
            <w:noWrap/>
            <w:vAlign w:val="center"/>
            <w:hideMark/>
          </w:tcPr>
          <w:p w14:paraId="404F2DF8"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n.d.</w:t>
            </w:r>
          </w:p>
        </w:tc>
        <w:tc>
          <w:tcPr>
            <w:tcW w:w="1276" w:type="dxa"/>
            <w:tcBorders>
              <w:top w:val="nil"/>
              <w:left w:val="nil"/>
              <w:bottom w:val="single" w:sz="4" w:space="0" w:color="00B050"/>
              <w:right w:val="nil"/>
            </w:tcBorders>
            <w:shd w:val="clear" w:color="000000" w:fill="FFFFFF"/>
            <w:noWrap/>
            <w:vAlign w:val="center"/>
            <w:hideMark/>
          </w:tcPr>
          <w:p w14:paraId="38A3494D"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35.34</w:t>
            </w:r>
          </w:p>
        </w:tc>
        <w:tc>
          <w:tcPr>
            <w:tcW w:w="541" w:type="dxa"/>
            <w:tcBorders>
              <w:top w:val="nil"/>
              <w:left w:val="nil"/>
              <w:bottom w:val="single" w:sz="4" w:space="0" w:color="00B050"/>
              <w:right w:val="nil"/>
            </w:tcBorders>
            <w:shd w:val="clear" w:color="000000" w:fill="FFFFFF"/>
            <w:noWrap/>
            <w:vAlign w:val="center"/>
            <w:hideMark/>
          </w:tcPr>
          <w:p w14:paraId="6B3FF061" w14:textId="77777777" w:rsidR="00093B95" w:rsidRPr="00D86C97" w:rsidRDefault="00093B95" w:rsidP="00A95C0D">
            <w:pPr>
              <w:spacing w:line="240" w:lineRule="auto"/>
              <w:jc w:val="center"/>
              <w:rPr>
                <w:rFonts w:cs="Arial"/>
                <w:color w:val="000000"/>
                <w:sz w:val="16"/>
                <w:szCs w:val="16"/>
                <w:lang w:eastAsia="pt-BR"/>
              </w:rPr>
            </w:pPr>
            <w:r w:rsidRPr="00470861">
              <w:rPr>
                <w:color w:val="000000"/>
                <w:sz w:val="16"/>
                <w:szCs w:val="16"/>
              </w:rPr>
              <w:t>38.77</w:t>
            </w:r>
          </w:p>
        </w:tc>
      </w:tr>
    </w:tbl>
    <w:p w14:paraId="7EDBAF37" w14:textId="77777777" w:rsidR="00093B95" w:rsidRPr="005768E0" w:rsidRDefault="00093B95" w:rsidP="00093B95">
      <w:pPr>
        <w:tabs>
          <w:tab w:val="clear" w:pos="7100"/>
        </w:tabs>
        <w:autoSpaceDE w:val="0"/>
        <w:autoSpaceDN w:val="0"/>
        <w:adjustRightInd w:val="0"/>
        <w:spacing w:line="240" w:lineRule="auto"/>
        <w:jc w:val="left"/>
        <w:rPr>
          <w:rFonts w:ascii="Times New Roman" w:hAnsi="Times New Roman"/>
          <w:iCs/>
          <w:color w:val="000000"/>
          <w:szCs w:val="18"/>
          <w:lang w:eastAsia="pt-BR"/>
        </w:rPr>
      </w:pPr>
      <w:r w:rsidRPr="005768E0">
        <w:rPr>
          <w:rFonts w:ascii="Times New Roman" w:hAnsi="Times New Roman"/>
          <w:iCs/>
          <w:color w:val="000000"/>
          <w:szCs w:val="18"/>
          <w:lang w:eastAsia="pt-BR"/>
        </w:rPr>
        <w:t>n.d.: N</w:t>
      </w:r>
      <w:r w:rsidR="00AD6A4B">
        <w:rPr>
          <w:rFonts w:ascii="Times New Roman" w:hAnsi="Times New Roman"/>
          <w:iCs/>
          <w:color w:val="000000"/>
          <w:szCs w:val="18"/>
          <w:lang w:eastAsia="pt-BR"/>
        </w:rPr>
        <w:t>ot dete</w:t>
      </w:r>
      <w:r w:rsidR="00526070">
        <w:rPr>
          <w:rFonts w:ascii="Times New Roman" w:hAnsi="Times New Roman"/>
          <w:iCs/>
          <w:color w:val="000000"/>
          <w:szCs w:val="18"/>
          <w:lang w:eastAsia="pt-BR"/>
        </w:rPr>
        <w:t>cted</w:t>
      </w:r>
      <w:r w:rsidR="00526070">
        <w:rPr>
          <w:rFonts w:ascii="Times New Roman" w:hAnsi="Times New Roman"/>
          <w:iCs/>
          <w:color w:val="000000"/>
          <w:szCs w:val="18"/>
          <w:lang w:eastAsia="pt-BR"/>
        </w:rPr>
        <w:tab/>
      </w:r>
      <w:r w:rsidR="00526070">
        <w:rPr>
          <w:rFonts w:ascii="Times New Roman" w:hAnsi="Times New Roman"/>
          <w:iCs/>
          <w:color w:val="000000"/>
          <w:szCs w:val="18"/>
          <w:lang w:eastAsia="pt-BR"/>
        </w:rPr>
        <w:tab/>
      </w:r>
      <w:r w:rsidR="00AD6A4B">
        <w:rPr>
          <w:rFonts w:ascii="Times New Roman" w:hAnsi="Times New Roman"/>
          <w:iCs/>
          <w:color w:val="000000"/>
          <w:szCs w:val="18"/>
          <w:lang w:eastAsia="pt-BR"/>
        </w:rPr>
        <w:t>Sim.</w:t>
      </w:r>
      <w:r w:rsidR="00526070">
        <w:rPr>
          <w:rFonts w:ascii="Times New Roman" w:hAnsi="Times New Roman"/>
          <w:iCs/>
          <w:color w:val="000000"/>
          <w:szCs w:val="18"/>
          <w:lang w:eastAsia="pt-BR"/>
        </w:rPr>
        <w:t>:</w:t>
      </w:r>
      <w:r w:rsidR="00AD6A4B">
        <w:rPr>
          <w:rFonts w:ascii="Times New Roman" w:hAnsi="Times New Roman"/>
          <w:iCs/>
          <w:color w:val="000000"/>
          <w:szCs w:val="18"/>
          <w:lang w:eastAsia="pt-BR"/>
        </w:rPr>
        <w:t xml:space="preserve"> Simulated value</w:t>
      </w:r>
      <w:r w:rsidR="00526070">
        <w:rPr>
          <w:rFonts w:ascii="Times New Roman" w:hAnsi="Times New Roman"/>
          <w:iCs/>
          <w:color w:val="000000"/>
          <w:szCs w:val="18"/>
          <w:lang w:eastAsia="pt-BR"/>
        </w:rPr>
        <w:tab/>
        <w:t xml:space="preserve">Exp.: Experimental </w:t>
      </w:r>
      <w:proofErr w:type="gramStart"/>
      <w:r w:rsidR="00526070">
        <w:rPr>
          <w:rFonts w:ascii="Times New Roman" w:hAnsi="Times New Roman"/>
          <w:iCs/>
          <w:color w:val="000000"/>
          <w:szCs w:val="18"/>
          <w:lang w:eastAsia="pt-BR"/>
        </w:rPr>
        <w:t>data</w:t>
      </w:r>
      <w:proofErr w:type="gramEnd"/>
    </w:p>
    <w:p w14:paraId="4CDDCC03" w14:textId="77777777" w:rsidR="00B80222" w:rsidRPr="00B80222" w:rsidRDefault="00B80222" w:rsidP="00086F7C">
      <w:pPr>
        <w:tabs>
          <w:tab w:val="clear" w:pos="7100"/>
        </w:tabs>
        <w:autoSpaceDE w:val="0"/>
        <w:autoSpaceDN w:val="0"/>
        <w:adjustRightInd w:val="0"/>
        <w:spacing w:before="240" w:line="240" w:lineRule="auto"/>
        <w:rPr>
          <w:rFonts w:eastAsiaTheme="minorHAnsi" w:cs="Arial"/>
          <w:szCs w:val="18"/>
          <w:lang w:val="en-US"/>
        </w:rPr>
      </w:pPr>
      <w:r w:rsidRPr="00484581">
        <w:rPr>
          <w:rFonts w:eastAsiaTheme="minorHAnsi" w:cs="Arial"/>
          <w:szCs w:val="18"/>
          <w:lang w:val="en-US"/>
        </w:rPr>
        <w:t xml:space="preserve">The results presented in Table </w:t>
      </w:r>
      <w:r>
        <w:rPr>
          <w:rFonts w:eastAsiaTheme="minorHAnsi" w:cs="Arial"/>
          <w:szCs w:val="18"/>
          <w:lang w:val="en-US"/>
        </w:rPr>
        <w:t>2</w:t>
      </w:r>
      <w:r w:rsidRPr="00484581">
        <w:rPr>
          <w:rFonts w:eastAsiaTheme="minorHAnsi" w:cs="Arial"/>
          <w:szCs w:val="18"/>
          <w:lang w:val="en-US"/>
        </w:rPr>
        <w:t xml:space="preserve"> indicate that the simulations present excellent fits with the experimental data with coefficients of determination equal to 0.998 and 0.997 for the molar fractions of hydrogen</w:t>
      </w:r>
      <w:r w:rsidR="00D577FE">
        <w:rPr>
          <w:rFonts w:eastAsiaTheme="minorHAnsi" w:cs="Arial"/>
          <w:szCs w:val="18"/>
          <w:lang w:val="en-US"/>
        </w:rPr>
        <w:t xml:space="preserve"> (H</w:t>
      </w:r>
      <w:r w:rsidR="00D577FE" w:rsidRPr="00D577FE">
        <w:rPr>
          <w:rFonts w:eastAsiaTheme="minorHAnsi" w:cs="Arial"/>
          <w:szCs w:val="18"/>
          <w:vertAlign w:val="subscript"/>
          <w:lang w:val="en-US"/>
        </w:rPr>
        <w:t>2</w:t>
      </w:r>
      <w:r w:rsidR="00D577FE">
        <w:rPr>
          <w:rFonts w:eastAsiaTheme="minorHAnsi" w:cs="Arial"/>
          <w:szCs w:val="18"/>
          <w:lang w:val="en-US"/>
        </w:rPr>
        <w:t>)</w:t>
      </w:r>
      <w:r w:rsidRPr="00484581">
        <w:rPr>
          <w:rFonts w:eastAsiaTheme="minorHAnsi" w:cs="Arial"/>
          <w:szCs w:val="18"/>
          <w:lang w:val="en-US"/>
        </w:rPr>
        <w:t xml:space="preserve"> and methane</w:t>
      </w:r>
      <w:r w:rsidR="00D577FE">
        <w:rPr>
          <w:rFonts w:eastAsiaTheme="minorHAnsi" w:cs="Arial"/>
          <w:szCs w:val="18"/>
          <w:lang w:val="en-US"/>
        </w:rPr>
        <w:t xml:space="preserve"> (CH</w:t>
      </w:r>
      <w:r w:rsidR="00D577FE" w:rsidRPr="00D577FE">
        <w:rPr>
          <w:rFonts w:eastAsiaTheme="minorHAnsi" w:cs="Arial"/>
          <w:szCs w:val="18"/>
          <w:vertAlign w:val="subscript"/>
          <w:lang w:val="en-US"/>
        </w:rPr>
        <w:t>4</w:t>
      </w:r>
      <w:r w:rsidR="00D577FE">
        <w:rPr>
          <w:rFonts w:eastAsiaTheme="minorHAnsi" w:cs="Arial"/>
          <w:szCs w:val="18"/>
          <w:lang w:val="en-US"/>
        </w:rPr>
        <w:t>)</w:t>
      </w:r>
      <w:r w:rsidRPr="00484581">
        <w:rPr>
          <w:rFonts w:eastAsiaTheme="minorHAnsi" w:cs="Arial"/>
          <w:szCs w:val="18"/>
          <w:lang w:val="en-US"/>
        </w:rPr>
        <w:t>, respectively.</w:t>
      </w:r>
      <w:r>
        <w:rPr>
          <w:rFonts w:eastAsiaTheme="minorHAnsi" w:cs="Arial"/>
          <w:szCs w:val="18"/>
          <w:lang w:val="en-US"/>
        </w:rPr>
        <w:t xml:space="preserve"> </w:t>
      </w:r>
      <w:r w:rsidRPr="00484581">
        <w:rPr>
          <w:rFonts w:eastAsiaTheme="minorHAnsi" w:cs="Arial"/>
          <w:szCs w:val="18"/>
          <w:lang w:val="en-US"/>
        </w:rPr>
        <w:t>Considering that the model presented a good fit to the experimental data, the following topic presents</w:t>
      </w:r>
      <w:r>
        <w:rPr>
          <w:rFonts w:eastAsiaTheme="minorHAnsi" w:cs="Arial"/>
          <w:szCs w:val="18"/>
          <w:lang w:val="en-US"/>
        </w:rPr>
        <w:t xml:space="preserve"> predictive</w:t>
      </w:r>
      <w:r w:rsidRPr="00484581">
        <w:rPr>
          <w:rFonts w:eastAsiaTheme="minorHAnsi" w:cs="Arial"/>
          <w:szCs w:val="18"/>
          <w:lang w:val="en-US"/>
        </w:rPr>
        <w:t xml:space="preserve"> results </w:t>
      </w:r>
      <w:r>
        <w:rPr>
          <w:rFonts w:eastAsiaTheme="minorHAnsi" w:cs="Arial"/>
          <w:szCs w:val="18"/>
          <w:lang w:val="en-US"/>
        </w:rPr>
        <w:t>for</w:t>
      </w:r>
      <w:r w:rsidRPr="00484581">
        <w:rPr>
          <w:rFonts w:eastAsiaTheme="minorHAnsi" w:cs="Arial"/>
          <w:szCs w:val="18"/>
          <w:lang w:val="en-US"/>
        </w:rPr>
        <w:t xml:space="preserve"> the behavior of the black liquor SCWG process under different operating conditions</w:t>
      </w:r>
      <w:r>
        <w:rPr>
          <w:rFonts w:eastAsiaTheme="minorHAnsi" w:cs="Arial"/>
          <w:szCs w:val="18"/>
          <w:lang w:val="en-US"/>
        </w:rPr>
        <w:t>, considering isothermal reactors.</w:t>
      </w:r>
    </w:p>
    <w:p w14:paraId="73E872D1" w14:textId="77777777" w:rsidR="00B87A10" w:rsidRDefault="00093B95" w:rsidP="00086F7C">
      <w:pPr>
        <w:pStyle w:val="CETBodytext"/>
        <w:spacing w:before="240"/>
        <w:rPr>
          <w:rFonts w:eastAsiaTheme="minorHAnsi" w:cs="Arial"/>
          <w:b/>
          <w:bCs/>
          <w:szCs w:val="18"/>
        </w:rPr>
      </w:pPr>
      <w:r w:rsidRPr="00093B95">
        <w:rPr>
          <w:b/>
          <w:bCs/>
        </w:rPr>
        <w:t>3.2.</w:t>
      </w:r>
      <w:r>
        <w:t xml:space="preserve"> </w:t>
      </w:r>
      <w:r w:rsidRPr="0029022A">
        <w:rPr>
          <w:rFonts w:eastAsiaTheme="minorHAnsi" w:cs="Arial"/>
          <w:b/>
          <w:bCs/>
          <w:szCs w:val="18"/>
        </w:rPr>
        <w:t xml:space="preserve">Study of process conditioned in isothermal </w:t>
      </w:r>
      <w:proofErr w:type="gramStart"/>
      <w:r w:rsidRPr="0029022A">
        <w:rPr>
          <w:rFonts w:eastAsiaTheme="minorHAnsi" w:cs="Arial"/>
          <w:b/>
          <w:bCs/>
          <w:szCs w:val="18"/>
        </w:rPr>
        <w:t>reactors</w:t>
      </w:r>
      <w:proofErr w:type="gramEnd"/>
    </w:p>
    <w:p w14:paraId="3789B310" w14:textId="77777777" w:rsidR="00A9019D" w:rsidRPr="00A9019D" w:rsidRDefault="00A9019D" w:rsidP="006B4083">
      <w:pPr>
        <w:rPr>
          <w:rFonts w:eastAsiaTheme="minorHAnsi" w:cs="Arial"/>
          <w:szCs w:val="18"/>
          <w:lang w:val="en-US"/>
        </w:rPr>
      </w:pPr>
      <w:r w:rsidRPr="00A9019D">
        <w:rPr>
          <w:rFonts w:eastAsiaTheme="minorHAnsi" w:cs="Arial"/>
          <w:szCs w:val="18"/>
          <w:lang w:val="en-US"/>
        </w:rPr>
        <w:t>Given the operating conditions presented in Table 1,</w:t>
      </w:r>
      <w:r>
        <w:rPr>
          <w:rFonts w:eastAsiaTheme="minorHAnsi" w:cs="Arial"/>
          <w:szCs w:val="18"/>
          <w:lang w:val="en-US"/>
        </w:rPr>
        <w:t xml:space="preserve"> </w:t>
      </w:r>
      <w:r w:rsidRPr="00A9019D">
        <w:rPr>
          <w:rFonts w:eastAsiaTheme="minorHAnsi" w:cs="Arial"/>
          <w:szCs w:val="18"/>
          <w:lang w:val="en-US"/>
        </w:rPr>
        <w:t>Figure 1 shows the formation of H</w:t>
      </w:r>
      <w:r w:rsidRPr="00A9019D">
        <w:rPr>
          <w:rFonts w:eastAsiaTheme="minorHAnsi" w:cs="Arial"/>
          <w:szCs w:val="18"/>
          <w:vertAlign w:val="subscript"/>
          <w:lang w:val="en-US"/>
        </w:rPr>
        <w:t>2</w:t>
      </w:r>
      <w:r w:rsidRPr="00A9019D">
        <w:rPr>
          <w:rFonts w:eastAsiaTheme="minorHAnsi" w:cs="Arial"/>
          <w:szCs w:val="18"/>
          <w:lang w:val="en-US"/>
        </w:rPr>
        <w:t xml:space="preserve"> as a function of temperature and biomass </w:t>
      </w:r>
      <w:r w:rsidR="005213E5">
        <w:rPr>
          <w:rFonts w:eastAsiaTheme="minorHAnsi" w:cs="Arial"/>
          <w:szCs w:val="18"/>
          <w:lang w:val="en-US"/>
        </w:rPr>
        <w:t>% weight,</w:t>
      </w:r>
      <w:r w:rsidRPr="00A9019D">
        <w:rPr>
          <w:rFonts w:eastAsiaTheme="minorHAnsi" w:cs="Arial"/>
          <w:szCs w:val="18"/>
          <w:lang w:val="en-US"/>
        </w:rPr>
        <w:t xml:space="preserve"> for two different pressure conditions (200 bar and 300 bar). The effect of biomass </w:t>
      </w:r>
      <w:r w:rsidR="005213E5">
        <w:rPr>
          <w:rFonts w:eastAsiaTheme="minorHAnsi" w:cs="Arial"/>
          <w:szCs w:val="18"/>
          <w:lang w:val="en-US"/>
        </w:rPr>
        <w:t>% weight</w:t>
      </w:r>
      <w:r w:rsidRPr="00A9019D">
        <w:rPr>
          <w:rFonts w:eastAsiaTheme="minorHAnsi" w:cs="Arial"/>
          <w:szCs w:val="18"/>
          <w:lang w:val="en-US"/>
        </w:rPr>
        <w:t xml:space="preserve"> on the behavior of the reaction process is presented, where the feed for </w:t>
      </w:r>
      <w:r w:rsidR="00E62D9E">
        <w:rPr>
          <w:rFonts w:eastAsiaTheme="minorHAnsi" w:cs="Arial"/>
          <w:szCs w:val="18"/>
          <w:lang w:val="en-US"/>
        </w:rPr>
        <w:t xml:space="preserve">the </w:t>
      </w:r>
      <w:r w:rsidRPr="00A9019D">
        <w:rPr>
          <w:rFonts w:eastAsiaTheme="minorHAnsi" w:cs="Arial"/>
          <w:szCs w:val="18"/>
          <w:lang w:val="en-US"/>
        </w:rPr>
        <w:t>process is composed only of biomass and water (2 moles). This consideration is adopted fo</w:t>
      </w:r>
      <w:r w:rsidR="00B629BD">
        <w:rPr>
          <w:rFonts w:eastAsiaTheme="minorHAnsi" w:cs="Arial"/>
          <w:szCs w:val="18"/>
          <w:lang w:val="en-US"/>
        </w:rPr>
        <w:t>r other results</w:t>
      </w:r>
      <w:r w:rsidR="00915CE3">
        <w:rPr>
          <w:rFonts w:eastAsiaTheme="minorHAnsi" w:cs="Arial"/>
          <w:szCs w:val="18"/>
          <w:lang w:val="en-US"/>
        </w:rPr>
        <w:t xml:space="preserve"> </w:t>
      </w:r>
      <w:r w:rsidR="00F044E0">
        <w:rPr>
          <w:rFonts w:eastAsiaTheme="minorHAnsi" w:cs="Arial"/>
          <w:szCs w:val="18"/>
          <w:lang w:val="en-US"/>
        </w:rPr>
        <w:t>in this work</w:t>
      </w:r>
      <w:r w:rsidRPr="00A9019D">
        <w:rPr>
          <w:rFonts w:eastAsiaTheme="minorHAnsi" w:cs="Arial"/>
          <w:szCs w:val="18"/>
          <w:lang w:val="en-US"/>
        </w:rPr>
        <w:t>.</w:t>
      </w:r>
    </w:p>
    <w:p w14:paraId="38A73F76" w14:textId="77777777" w:rsidR="006B4083" w:rsidRPr="00567068" w:rsidRDefault="006B4083" w:rsidP="00B629BD">
      <w:pPr>
        <w:spacing w:after="240"/>
        <w:rPr>
          <w:rFonts w:cs="Arial"/>
          <w:color w:val="000000"/>
          <w:szCs w:val="18"/>
          <w:lang w:val="en-US"/>
        </w:rPr>
      </w:pPr>
      <w:r w:rsidRPr="00567068">
        <w:rPr>
          <w:rFonts w:cs="Arial"/>
          <w:color w:val="000000"/>
          <w:szCs w:val="18"/>
          <w:lang w:val="en-US"/>
        </w:rPr>
        <w:t xml:space="preserve">The results in Figure 1 indicate that hydrogen formation is maximized with increases in temperature and biomass in the process feed. This result is expected according to the kinetic models reported by Jin et al. </w:t>
      </w:r>
      <w:r>
        <w:rPr>
          <w:rFonts w:cs="Arial"/>
          <w:color w:val="000000"/>
          <w:szCs w:val="18"/>
          <w:lang w:val="en-US"/>
        </w:rPr>
        <w:t>(2015)</w:t>
      </w:r>
      <w:r w:rsidRPr="00567068">
        <w:rPr>
          <w:rFonts w:cs="Arial"/>
          <w:color w:val="000000"/>
          <w:szCs w:val="18"/>
          <w:lang w:val="en-US"/>
        </w:rPr>
        <w:t xml:space="preserve"> and Guo et al. </w:t>
      </w:r>
      <w:r>
        <w:rPr>
          <w:rFonts w:cs="Arial"/>
          <w:color w:val="000000"/>
          <w:szCs w:val="18"/>
          <w:lang w:val="en-US"/>
        </w:rPr>
        <w:t>(2006)</w:t>
      </w:r>
      <w:r w:rsidRPr="00567068">
        <w:rPr>
          <w:rFonts w:cs="Arial"/>
          <w:color w:val="000000"/>
          <w:szCs w:val="18"/>
          <w:lang w:val="en-US"/>
        </w:rPr>
        <w:t xml:space="preserve"> </w:t>
      </w:r>
      <w:proofErr w:type="gramStart"/>
      <w:r w:rsidRPr="00567068">
        <w:rPr>
          <w:rFonts w:cs="Arial"/>
          <w:color w:val="000000"/>
          <w:szCs w:val="18"/>
          <w:lang w:val="en-US"/>
        </w:rPr>
        <w:t>due to the fact that</w:t>
      </w:r>
      <w:proofErr w:type="gramEnd"/>
      <w:r w:rsidRPr="00567068">
        <w:rPr>
          <w:rFonts w:cs="Arial"/>
          <w:color w:val="000000"/>
          <w:szCs w:val="18"/>
          <w:lang w:val="en-US"/>
        </w:rPr>
        <w:t xml:space="preserve"> gasification reactions are endothermic and are therefore optimized with increases in temperature. However, pressure increases tend to minimize hydrogen formation. This result is predicted by the model of</w:t>
      </w:r>
      <w:r>
        <w:rPr>
          <w:rFonts w:cs="Arial"/>
          <w:color w:val="000000"/>
          <w:szCs w:val="18"/>
          <w:lang w:val="en-US"/>
        </w:rPr>
        <w:t xml:space="preserve"> Guo et al. (2006)</w:t>
      </w:r>
      <w:r w:rsidRPr="00567068">
        <w:rPr>
          <w:rFonts w:cs="Arial"/>
          <w:color w:val="000000"/>
          <w:szCs w:val="18"/>
          <w:lang w:val="en-US"/>
        </w:rPr>
        <w:t xml:space="preserve">, where it is described that increasing pressure disfavors the formation of products of interest during the process. This is justified by the fact that the increase in pressure disfavors the </w:t>
      </w:r>
      <w:r w:rsidRPr="00A9019D">
        <w:rPr>
          <w:rFonts w:cs="Arial"/>
          <w:i/>
          <w:iCs/>
          <w:color w:val="000000"/>
          <w:szCs w:val="18"/>
          <w:lang w:val="en-US"/>
        </w:rPr>
        <w:t>water-gas</w:t>
      </w:r>
      <w:r w:rsidRPr="00567068">
        <w:rPr>
          <w:rFonts w:cs="Arial"/>
          <w:color w:val="000000"/>
          <w:szCs w:val="18"/>
          <w:lang w:val="en-US"/>
        </w:rPr>
        <w:t xml:space="preserve"> displacement reactions and the methanation reaction is favored, in accordance with </w:t>
      </w:r>
      <w:r w:rsidRPr="00A9019D">
        <w:rPr>
          <w:rFonts w:cs="Arial"/>
          <w:i/>
          <w:iCs/>
          <w:color w:val="000000"/>
          <w:szCs w:val="18"/>
          <w:lang w:val="en-US"/>
        </w:rPr>
        <w:t xml:space="preserve">Le Chatelier's </w:t>
      </w:r>
      <w:r w:rsidRPr="00567068">
        <w:rPr>
          <w:rFonts w:cs="Arial"/>
          <w:color w:val="000000"/>
          <w:szCs w:val="18"/>
          <w:lang w:val="en-US"/>
        </w:rPr>
        <w:t>principle, thus, hydrogen is largely consumed, forming methane</w:t>
      </w:r>
      <w:r>
        <w:rPr>
          <w:rFonts w:cs="Arial"/>
          <w:color w:val="000000"/>
          <w:szCs w:val="18"/>
          <w:lang w:val="en-US"/>
        </w:rPr>
        <w:t xml:space="preserve"> (CH</w:t>
      </w:r>
      <w:r w:rsidRPr="001F2CBC">
        <w:rPr>
          <w:rFonts w:cs="Arial"/>
          <w:color w:val="000000"/>
          <w:szCs w:val="18"/>
          <w:vertAlign w:val="subscript"/>
          <w:lang w:val="en-US"/>
        </w:rPr>
        <w:t>4</w:t>
      </w:r>
      <w:r>
        <w:rPr>
          <w:rFonts w:cs="Arial"/>
          <w:color w:val="000000"/>
          <w:szCs w:val="18"/>
          <w:lang w:val="en-US"/>
        </w:rPr>
        <w:t>)</w:t>
      </w:r>
      <w:r w:rsidRPr="00567068">
        <w:rPr>
          <w:rFonts w:cs="Arial"/>
          <w:color w:val="000000"/>
          <w:szCs w:val="18"/>
          <w:lang w:val="en-US"/>
        </w:rPr>
        <w:t xml:space="preserve"> and carbon dioxide</w:t>
      </w:r>
      <w:r>
        <w:rPr>
          <w:rFonts w:cs="Arial"/>
          <w:color w:val="000000"/>
          <w:szCs w:val="18"/>
          <w:lang w:val="en-US"/>
        </w:rPr>
        <w:t xml:space="preserve"> (CO</w:t>
      </w:r>
      <w:r w:rsidRPr="001F2CBC">
        <w:rPr>
          <w:rFonts w:cs="Arial"/>
          <w:color w:val="000000"/>
          <w:szCs w:val="18"/>
          <w:vertAlign w:val="subscript"/>
          <w:lang w:val="en-US"/>
        </w:rPr>
        <w:t>2</w:t>
      </w:r>
      <w:r>
        <w:rPr>
          <w:rFonts w:cs="Arial"/>
          <w:color w:val="000000"/>
          <w:szCs w:val="18"/>
          <w:lang w:val="en-US"/>
        </w:rPr>
        <w:t>).</w:t>
      </w:r>
    </w:p>
    <w:p w14:paraId="033A52C2" w14:textId="77777777" w:rsidR="00093B95" w:rsidRPr="00F92BA6" w:rsidRDefault="00093B95" w:rsidP="00093B95">
      <w:pPr>
        <w:pStyle w:val="CETBodytext"/>
        <w:jc w:val="left"/>
      </w:pPr>
      <w:r>
        <w:rPr>
          <w:rFonts w:ascii="Times New Roman" w:hAnsi="Times New Roman"/>
          <w:noProof/>
          <w:sz w:val="20"/>
          <w:lang w:val="pt-BR" w:eastAsia="pt-BR"/>
        </w:rPr>
        <w:drawing>
          <wp:inline distT="0" distB="0" distL="0" distR="0" wp14:anchorId="5547DB02" wp14:editId="40A9CF31">
            <wp:extent cx="2340000" cy="2149318"/>
            <wp:effectExtent l="0" t="0" r="0" b="0"/>
            <wp:docPr id="122920357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03573" name="Imagem 1229203573"/>
                    <pic:cNvPicPr/>
                  </pic:nvPicPr>
                  <pic:blipFill rotWithShape="1">
                    <a:blip r:embed="rId10" cstate="print">
                      <a:extLst>
                        <a:ext uri="{28A0092B-C50C-407E-A947-70E740481C1C}">
                          <a14:useLocalDpi xmlns:a14="http://schemas.microsoft.com/office/drawing/2010/main" val="0"/>
                        </a:ext>
                      </a:extLst>
                    </a:blip>
                    <a:srcRect l="4858" t="6498"/>
                    <a:stretch/>
                  </pic:blipFill>
                  <pic:spPr bwMode="auto">
                    <a:xfrm>
                      <a:off x="0" y="0"/>
                      <a:ext cx="2410939" cy="2214476"/>
                    </a:xfrm>
                    <a:prstGeom prst="rect">
                      <a:avLst/>
                    </a:prstGeom>
                    <a:ln>
                      <a:noFill/>
                    </a:ln>
                    <a:extLst>
                      <a:ext uri="{53640926-AAD7-44D8-BBD7-CCE9431645EC}">
                        <a14:shadowObscured xmlns:a14="http://schemas.microsoft.com/office/drawing/2010/main"/>
                      </a:ext>
                    </a:extLst>
                  </pic:spPr>
                </pic:pic>
              </a:graphicData>
            </a:graphic>
          </wp:inline>
        </w:drawing>
      </w:r>
    </w:p>
    <w:p w14:paraId="6F859B7D" w14:textId="77777777" w:rsidR="00093B95" w:rsidRDefault="00093B95" w:rsidP="00093B95">
      <w:pPr>
        <w:rPr>
          <w:rFonts w:cs="Arial"/>
          <w:i/>
          <w:iCs/>
          <w:szCs w:val="18"/>
          <w:lang w:val="en-US"/>
        </w:rPr>
      </w:pPr>
      <w:r w:rsidRPr="00F92BA6">
        <w:rPr>
          <w:rFonts w:cs="Arial"/>
          <w:i/>
          <w:iCs/>
          <w:szCs w:val="18"/>
          <w:lang w:val="en-US"/>
        </w:rPr>
        <w:t xml:space="preserve">Figure </w:t>
      </w:r>
      <w:r w:rsidR="00CD5DE6">
        <w:rPr>
          <w:rFonts w:cs="Arial"/>
          <w:i/>
          <w:iCs/>
          <w:szCs w:val="18"/>
          <w:lang w:val="en-US"/>
        </w:rPr>
        <w:t>1</w:t>
      </w:r>
      <w:r w:rsidR="00A95C0D">
        <w:rPr>
          <w:rFonts w:cs="Arial"/>
          <w:i/>
          <w:iCs/>
          <w:szCs w:val="18"/>
          <w:lang w:val="en-US"/>
        </w:rPr>
        <w:t>:</w:t>
      </w:r>
      <w:r w:rsidRPr="00F92BA6">
        <w:rPr>
          <w:rFonts w:cs="Arial"/>
          <w:i/>
          <w:iCs/>
          <w:szCs w:val="18"/>
          <w:lang w:val="en-US"/>
        </w:rPr>
        <w:t xml:space="preserve"> Hydrogen formation as a function of temperature and biomass composition under fixed pressure conditions.</w:t>
      </w:r>
    </w:p>
    <w:p w14:paraId="73AB0165" w14:textId="77777777" w:rsidR="00093B95" w:rsidRPr="0016490B" w:rsidRDefault="00093B95" w:rsidP="00093B95">
      <w:pPr>
        <w:pStyle w:val="CETBodytext"/>
        <w:rPr>
          <w:rFonts w:cs="Arial"/>
          <w:szCs w:val="18"/>
        </w:rPr>
      </w:pPr>
      <w:r w:rsidRPr="001F2CBC">
        <w:rPr>
          <w:rFonts w:cs="Arial"/>
          <w:szCs w:val="18"/>
        </w:rPr>
        <w:lastRenderedPageBreak/>
        <w:t xml:space="preserve">To better verify the correlations between the variables of interest, Figure 2 presents a Spearman correlation matrix. From the results presented in Figure 2, </w:t>
      </w:r>
      <w:proofErr w:type="gramStart"/>
      <w:r w:rsidRPr="001F2CBC">
        <w:rPr>
          <w:rFonts w:cs="Arial"/>
          <w:szCs w:val="18"/>
        </w:rPr>
        <w:t>it is clear that both</w:t>
      </w:r>
      <w:proofErr w:type="gramEnd"/>
      <w:r w:rsidRPr="001F2CBC">
        <w:rPr>
          <w:rFonts w:cs="Arial"/>
          <w:szCs w:val="18"/>
        </w:rPr>
        <w:t xml:space="preserve"> variables have a low correlation with pressure variation, which may indicate that this variable has little influence on the formation of other products throughout the process</w:t>
      </w:r>
      <w:r w:rsidR="0016490B">
        <w:rPr>
          <w:rFonts w:cs="Arial"/>
          <w:szCs w:val="18"/>
        </w:rPr>
        <w:t xml:space="preserve">. </w:t>
      </w:r>
      <w:r w:rsidR="0016490B" w:rsidRPr="0016490B">
        <w:rPr>
          <w:rFonts w:cs="Arial"/>
          <w:szCs w:val="18"/>
        </w:rPr>
        <w:t>Similar results for the pressure effect are reported in the literature for systems that use supercritical water processes, as in Dias et al. (2024) when studying the treatment of pharmaceutical waste in supercritical water.</w:t>
      </w:r>
    </w:p>
    <w:p w14:paraId="026181B2" w14:textId="77777777" w:rsidR="00093B95" w:rsidRDefault="00093B95" w:rsidP="00093B95">
      <w:pPr>
        <w:jc w:val="left"/>
        <w:rPr>
          <w:rFonts w:cs="Arial"/>
          <w:i/>
          <w:iCs/>
          <w:szCs w:val="18"/>
          <w:lang w:val="en-US"/>
        </w:rPr>
      </w:pPr>
      <w:r w:rsidRPr="002B2235">
        <w:rPr>
          <w:rFonts w:ascii="Times New Roman" w:hAnsi="Times New Roman"/>
          <w:noProof/>
          <w:sz w:val="20"/>
          <w:lang w:val="pt-BR" w:eastAsia="pt-BR"/>
        </w:rPr>
        <w:drawing>
          <wp:inline distT="0" distB="0" distL="0" distR="0" wp14:anchorId="4D7E611E" wp14:editId="04609F55">
            <wp:extent cx="3549600" cy="2393469"/>
            <wp:effectExtent l="0" t="0" r="0" b="0"/>
            <wp:docPr id="624957594" name="Imagem 1" descr="Gráfi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57594" name="Imagem 1" descr="Gráfico&#10;&#10;Descrição gerada automaticamente com confiança baixa"/>
                    <pic:cNvPicPr/>
                  </pic:nvPicPr>
                  <pic:blipFill>
                    <a:blip r:embed="rId11"/>
                    <a:stretch>
                      <a:fillRect/>
                    </a:stretch>
                  </pic:blipFill>
                  <pic:spPr>
                    <a:xfrm>
                      <a:off x="0" y="0"/>
                      <a:ext cx="3647390" cy="2459408"/>
                    </a:xfrm>
                    <a:prstGeom prst="rect">
                      <a:avLst/>
                    </a:prstGeom>
                  </pic:spPr>
                </pic:pic>
              </a:graphicData>
            </a:graphic>
          </wp:inline>
        </w:drawing>
      </w:r>
    </w:p>
    <w:p w14:paraId="71B942D5" w14:textId="77777777" w:rsidR="00093B95" w:rsidRPr="00F92BA6" w:rsidRDefault="00093B95" w:rsidP="00093B95">
      <w:pPr>
        <w:tabs>
          <w:tab w:val="left" w:pos="5179"/>
        </w:tabs>
        <w:rPr>
          <w:rFonts w:cs="Arial"/>
          <w:i/>
          <w:iCs/>
          <w:szCs w:val="18"/>
          <w:lang w:val="en-US"/>
        </w:rPr>
      </w:pPr>
      <w:r w:rsidRPr="00F92BA6">
        <w:rPr>
          <w:rFonts w:cs="Arial"/>
          <w:i/>
          <w:iCs/>
          <w:szCs w:val="18"/>
          <w:lang w:val="en-US"/>
        </w:rPr>
        <w:t xml:space="preserve">Figure </w:t>
      </w:r>
      <w:r w:rsidR="00CD5DE6">
        <w:rPr>
          <w:rFonts w:cs="Arial"/>
          <w:i/>
          <w:iCs/>
          <w:szCs w:val="18"/>
          <w:lang w:val="en-US"/>
        </w:rPr>
        <w:t>2</w:t>
      </w:r>
      <w:r w:rsidR="00A95C0D">
        <w:rPr>
          <w:rFonts w:cs="Arial"/>
          <w:i/>
          <w:iCs/>
          <w:szCs w:val="18"/>
          <w:lang w:val="en-US"/>
        </w:rPr>
        <w:t>:</w:t>
      </w:r>
      <w:r w:rsidRPr="00F92BA6">
        <w:rPr>
          <w:rFonts w:cs="Arial"/>
          <w:i/>
          <w:iCs/>
          <w:szCs w:val="18"/>
          <w:lang w:val="en-US"/>
        </w:rPr>
        <w:t xml:space="preserve"> Spearman correlations for black liquor SCWG process variables.</w:t>
      </w:r>
    </w:p>
    <w:p w14:paraId="6B45D5EC" w14:textId="77777777" w:rsidR="00093B95" w:rsidRDefault="00093B95" w:rsidP="00093B95">
      <w:pPr>
        <w:rPr>
          <w:rFonts w:cs="Arial"/>
          <w:i/>
          <w:iCs/>
          <w:szCs w:val="18"/>
          <w:lang w:val="en-US"/>
        </w:rPr>
      </w:pPr>
    </w:p>
    <w:p w14:paraId="712CA8E8" w14:textId="77777777" w:rsidR="00093B95" w:rsidRPr="006A673C" w:rsidRDefault="00093B95" w:rsidP="00093B95">
      <w:pPr>
        <w:rPr>
          <w:rFonts w:cs="Arial"/>
          <w:szCs w:val="18"/>
          <w:lang w:val="en-US"/>
        </w:rPr>
      </w:pPr>
      <w:r w:rsidRPr="006A673C">
        <w:rPr>
          <w:rFonts w:cs="Arial"/>
          <w:szCs w:val="18"/>
          <w:lang w:val="en-US"/>
        </w:rPr>
        <w:t xml:space="preserve">Regarding products formed in larger quantities, the formation of hydrogen and carbon monoxide present positive correlations with temperature and the mass percentage of biomass in the process feed. The formation of methane has a negative correlation with temperature </w:t>
      </w:r>
      <w:proofErr w:type="gramStart"/>
      <w:r w:rsidRPr="006A673C">
        <w:rPr>
          <w:rFonts w:cs="Arial"/>
          <w:szCs w:val="18"/>
          <w:lang w:val="en-US"/>
        </w:rPr>
        <w:t>due to the fact that</w:t>
      </w:r>
      <w:proofErr w:type="gramEnd"/>
      <w:r w:rsidRPr="006A673C">
        <w:rPr>
          <w:rFonts w:cs="Arial"/>
          <w:szCs w:val="18"/>
          <w:lang w:val="en-US"/>
        </w:rPr>
        <w:t xml:space="preserve"> methanation reactions are predominantly exothermic and the behavior of the formation of this product is similar to the formation of carbon dioxide. In addition to these, a small formation of solid carbon was noticed throughout the process (&lt; 0.11 mols) which is maximized with decreases in temperature and increases in biomass in the process feed.</w:t>
      </w:r>
    </w:p>
    <w:p w14:paraId="5958B4F4" w14:textId="77777777" w:rsidR="00093B95" w:rsidRDefault="00093B95" w:rsidP="00093B95">
      <w:pPr>
        <w:pStyle w:val="CETBodytext"/>
      </w:pPr>
      <w:r w:rsidRPr="006A673C">
        <w:t xml:space="preserve">Figure 3 shows the effect of pressure on the formation of products throughout the process and in fact </w:t>
      </w:r>
      <w:proofErr w:type="gramStart"/>
      <w:r w:rsidRPr="006A673C">
        <w:t>it can be seen that pressure</w:t>
      </w:r>
      <w:proofErr w:type="gramEnd"/>
      <w:r w:rsidRPr="006A673C">
        <w:t xml:space="preserve"> has little influence on the formation of products, however, increases in pressure tend to minimize the formation of hydrogen and carbon monoxide.</w:t>
      </w:r>
    </w:p>
    <w:p w14:paraId="3B22EB67" w14:textId="77777777" w:rsidR="006B4083" w:rsidRDefault="006B4083" w:rsidP="006B4083">
      <w:pPr>
        <w:pStyle w:val="CETBodytext"/>
      </w:pPr>
      <w:r w:rsidRPr="006A673C">
        <w:t xml:space="preserve">As previously verified, increases in biomass in the process feed tend to maximize the formation of hydrogen, however, the increase in biomass also favors the formation of other products and for this reason, although the formation of hydrogen is increased, its molar fraction tends to decrease. </w:t>
      </w:r>
    </w:p>
    <w:p w14:paraId="45ADA470" w14:textId="77777777" w:rsidR="006B4083" w:rsidRPr="006A673C" w:rsidRDefault="006B4083" w:rsidP="00093B95">
      <w:pPr>
        <w:pStyle w:val="CETBodytext"/>
      </w:pPr>
    </w:p>
    <w:p w14:paraId="318A243F" w14:textId="77777777" w:rsidR="00093B95" w:rsidRDefault="00093B95" w:rsidP="00093B95">
      <w:pPr>
        <w:pStyle w:val="CETBodytext"/>
        <w:jc w:val="left"/>
      </w:pPr>
      <w:r>
        <w:rPr>
          <w:rFonts w:ascii="Times New Roman" w:hAnsi="Times New Roman"/>
          <w:noProof/>
          <w:sz w:val="20"/>
          <w:lang w:val="pt-BR" w:eastAsia="pt-BR"/>
        </w:rPr>
        <w:drawing>
          <wp:inline distT="0" distB="0" distL="0" distR="0" wp14:anchorId="09CD34C8" wp14:editId="206E9947">
            <wp:extent cx="3340800" cy="2797094"/>
            <wp:effectExtent l="0" t="0" r="0" b="0"/>
            <wp:docPr id="1055432047" name="Imagem 4"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32047" name="Imagem 4" descr="Gráfic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2240" cy="2873652"/>
                    </a:xfrm>
                    <a:prstGeom prst="rect">
                      <a:avLst/>
                    </a:prstGeom>
                  </pic:spPr>
                </pic:pic>
              </a:graphicData>
            </a:graphic>
          </wp:inline>
        </w:drawing>
      </w:r>
    </w:p>
    <w:p w14:paraId="1B9D4A46" w14:textId="77777777" w:rsidR="00093B95" w:rsidRDefault="00093B95" w:rsidP="00093B95">
      <w:pPr>
        <w:tabs>
          <w:tab w:val="left" w:pos="5179"/>
        </w:tabs>
        <w:rPr>
          <w:rFonts w:cs="Arial"/>
          <w:i/>
          <w:iCs/>
          <w:szCs w:val="18"/>
          <w:lang w:val="en-US"/>
        </w:rPr>
      </w:pPr>
      <w:r w:rsidRPr="00F92BA6">
        <w:rPr>
          <w:rFonts w:cs="Arial"/>
          <w:i/>
          <w:iCs/>
          <w:szCs w:val="18"/>
          <w:lang w:val="en-US"/>
        </w:rPr>
        <w:t xml:space="preserve">Figure </w:t>
      </w:r>
      <w:r w:rsidR="00A95C0D">
        <w:rPr>
          <w:rFonts w:cs="Arial"/>
          <w:i/>
          <w:iCs/>
          <w:szCs w:val="18"/>
          <w:lang w:val="en-US"/>
        </w:rPr>
        <w:t>3:</w:t>
      </w:r>
      <w:r w:rsidRPr="00F92BA6">
        <w:rPr>
          <w:rFonts w:cs="Arial"/>
          <w:i/>
          <w:iCs/>
          <w:szCs w:val="18"/>
          <w:lang w:val="en-US"/>
        </w:rPr>
        <w:t xml:space="preserve"> Formation of majority products as a function of pressure and biomass composition at 1000 K (a: hydrogen; b: methane; c: carbon dioxide; d: carbon monoxide).</w:t>
      </w:r>
    </w:p>
    <w:p w14:paraId="7C371A8B" w14:textId="77777777" w:rsidR="00093B95" w:rsidRDefault="00093B95" w:rsidP="006B4083">
      <w:pPr>
        <w:pStyle w:val="CETBodytext"/>
      </w:pPr>
      <w:r w:rsidRPr="006A673C">
        <w:lastRenderedPageBreak/>
        <w:t xml:space="preserve">Figure 4 shows the formation of products as a function of temperature at </w:t>
      </w:r>
      <w:r w:rsidR="00CD5DE6">
        <w:t xml:space="preserve">constant pressure of </w:t>
      </w:r>
      <w:r w:rsidRPr="006A673C">
        <w:t>260 bar under fixed conditions of b</w:t>
      </w:r>
      <w:r w:rsidR="00B02765">
        <w:t>iomass composition in the feed.</w:t>
      </w:r>
    </w:p>
    <w:p w14:paraId="690252C2" w14:textId="77777777" w:rsidR="00037A18" w:rsidRPr="006A673C" w:rsidRDefault="00037A18" w:rsidP="006B4083">
      <w:pPr>
        <w:pStyle w:val="CETBodytext"/>
      </w:pPr>
    </w:p>
    <w:p w14:paraId="192DDDE1" w14:textId="77777777" w:rsidR="00093B95" w:rsidRDefault="00093B95" w:rsidP="00093B95">
      <w:pPr>
        <w:tabs>
          <w:tab w:val="left" w:pos="5179"/>
        </w:tabs>
        <w:jc w:val="left"/>
        <w:rPr>
          <w:rFonts w:cs="Arial"/>
          <w:i/>
          <w:iCs/>
          <w:szCs w:val="18"/>
          <w:lang w:val="en-US"/>
        </w:rPr>
      </w:pPr>
      <w:r>
        <w:rPr>
          <w:rFonts w:ascii="Times New Roman" w:hAnsi="Times New Roman"/>
          <w:noProof/>
          <w:sz w:val="20"/>
          <w:lang w:val="pt-BR" w:eastAsia="pt-BR"/>
        </w:rPr>
        <w:drawing>
          <wp:inline distT="0" distB="0" distL="0" distR="0" wp14:anchorId="4DFAEA3F" wp14:editId="2DF9483B">
            <wp:extent cx="3698719" cy="3196800"/>
            <wp:effectExtent l="0" t="0" r="0" b="3810"/>
            <wp:docPr id="729978291" name="Imagem 5"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78291" name="Imagem 5" descr="Gráfico, Gráfico de linhas&#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3405" cy="3244065"/>
                    </a:xfrm>
                    <a:prstGeom prst="rect">
                      <a:avLst/>
                    </a:prstGeom>
                  </pic:spPr>
                </pic:pic>
              </a:graphicData>
            </a:graphic>
          </wp:inline>
        </w:drawing>
      </w:r>
    </w:p>
    <w:p w14:paraId="0FA5CED1" w14:textId="77777777" w:rsidR="00093B95" w:rsidRDefault="00093B95" w:rsidP="00093B95">
      <w:pPr>
        <w:pStyle w:val="CETBodytext"/>
        <w:rPr>
          <w:rFonts w:cs="Arial"/>
          <w:i/>
          <w:iCs/>
          <w:szCs w:val="18"/>
        </w:rPr>
      </w:pPr>
      <w:r w:rsidRPr="00F92BA6">
        <w:rPr>
          <w:rFonts w:cs="Arial"/>
          <w:i/>
          <w:iCs/>
          <w:szCs w:val="18"/>
        </w:rPr>
        <w:t>Figure 4</w:t>
      </w:r>
      <w:r w:rsidR="00A95C0D">
        <w:rPr>
          <w:rFonts w:cs="Arial"/>
          <w:i/>
          <w:iCs/>
          <w:szCs w:val="18"/>
        </w:rPr>
        <w:t>:</w:t>
      </w:r>
      <w:r w:rsidRPr="00F92BA6">
        <w:rPr>
          <w:rFonts w:cs="Arial"/>
          <w:i/>
          <w:iCs/>
          <w:szCs w:val="18"/>
        </w:rPr>
        <w:t xml:space="preserve"> Formation of the majority components</w:t>
      </w:r>
      <w:r w:rsidR="00CD5DE6">
        <w:rPr>
          <w:rFonts w:cs="Arial"/>
          <w:i/>
          <w:iCs/>
          <w:szCs w:val="18"/>
        </w:rPr>
        <w:t xml:space="preserve"> (mols)</w:t>
      </w:r>
      <w:r w:rsidRPr="00F92BA6">
        <w:rPr>
          <w:rFonts w:cs="Arial"/>
          <w:i/>
          <w:iCs/>
          <w:szCs w:val="18"/>
        </w:rPr>
        <w:t xml:space="preserve"> and molar fraction as a function of temperature under fixed biomass compositions in the process feed at 260 </w:t>
      </w:r>
      <w:proofErr w:type="gramStart"/>
      <w:r w:rsidRPr="00F92BA6">
        <w:rPr>
          <w:rFonts w:cs="Arial"/>
          <w:i/>
          <w:iCs/>
          <w:szCs w:val="18"/>
        </w:rPr>
        <w:t>bar</w:t>
      </w:r>
      <w:proofErr w:type="gramEnd"/>
      <w:r w:rsidRPr="00F92BA6">
        <w:rPr>
          <w:rFonts w:cs="Arial"/>
          <w:i/>
          <w:iCs/>
          <w:szCs w:val="18"/>
        </w:rPr>
        <w:t xml:space="preserve"> (a and b: 25 %wt; c and d: 50 %wt).</w:t>
      </w:r>
    </w:p>
    <w:p w14:paraId="66FBE5BD" w14:textId="77777777" w:rsidR="006B4083" w:rsidRDefault="006B4083" w:rsidP="00093B95">
      <w:pPr>
        <w:pStyle w:val="CETBodytext"/>
        <w:rPr>
          <w:rFonts w:cs="Arial"/>
          <w:i/>
          <w:iCs/>
          <w:szCs w:val="18"/>
        </w:rPr>
      </w:pPr>
    </w:p>
    <w:p w14:paraId="68A97E3E" w14:textId="77777777" w:rsidR="006B4083" w:rsidRDefault="006B4083" w:rsidP="006B4083">
      <w:pPr>
        <w:pStyle w:val="CETBodytext"/>
      </w:pPr>
      <w:r w:rsidRPr="006A673C">
        <w:t xml:space="preserve">Figures 4a and 4b show the formation of products and the molar fraction of products as a function of temperature with biomass composition in the feed set at 25% wt. </w:t>
      </w:r>
      <w:proofErr w:type="gramStart"/>
      <w:r w:rsidRPr="006A673C">
        <w:t>It can be seen that in</w:t>
      </w:r>
      <w:proofErr w:type="gramEnd"/>
      <w:r w:rsidRPr="006A673C">
        <w:t xml:space="preserve"> fact the molar quantities of hydrogen tend to be maximized with increases in temperature as well as the molar fraction of this product. However, when looking at the results in Figures 4c and 4c where the biomass composition in the process feed was increased to 50% wt, it is clear that the molar fraction of hydrogen was </w:t>
      </w:r>
      <w:proofErr w:type="gramStart"/>
      <w:r w:rsidRPr="006A673C">
        <w:t>minimized</w:t>
      </w:r>
      <w:proofErr w:type="gramEnd"/>
      <w:r w:rsidRPr="006A673C">
        <w:t xml:space="preserve"> and the molar fraction of the other products increased. </w:t>
      </w:r>
      <w:r w:rsidRPr="00EC42F1">
        <w:t>Another important result to be emphasized is the decrease in the presence of methane in the system as we increase the process operating temperature. This behavior is inverted with the formation of hydrogen in the system, emphasizing the association of these two components to the reaction network that represents this reaction system.</w:t>
      </w:r>
      <w:r>
        <w:t xml:space="preserve"> </w:t>
      </w:r>
      <w:r w:rsidRPr="00EC42F1">
        <w:t>This behavior was observed within the entire range of feed compositions studied for the black liquor SCWG reaction.</w:t>
      </w:r>
    </w:p>
    <w:p w14:paraId="495CF0A8" w14:textId="77777777" w:rsidR="006B4083" w:rsidRPr="006B4083" w:rsidRDefault="006B4083" w:rsidP="00093B95">
      <w:pPr>
        <w:pStyle w:val="CETBodytext"/>
      </w:pPr>
      <w:r w:rsidRPr="006A673C">
        <w:t>Thus, the increase in biomass in the feed increases the formation of both products and care must be taken when defining the operational conditions of the black liquor SCWG process, considering that the increase in the formation of other products implies the need for additional steps treatment of the product stream of this process.</w:t>
      </w:r>
    </w:p>
    <w:p w14:paraId="0D893899" w14:textId="77777777" w:rsidR="00093B95" w:rsidRDefault="00093B95" w:rsidP="00093B95">
      <w:pPr>
        <w:pStyle w:val="CETHeading1"/>
      </w:pPr>
      <w:r>
        <w:t>Conclusions</w:t>
      </w:r>
    </w:p>
    <w:p w14:paraId="644CF7B5" w14:textId="77777777" w:rsidR="00093B95" w:rsidRPr="00093B95" w:rsidRDefault="00093B95" w:rsidP="00093B95">
      <w:pPr>
        <w:pStyle w:val="Paragrafoelenco"/>
        <w:tabs>
          <w:tab w:val="clear" w:pos="7100"/>
        </w:tabs>
        <w:autoSpaceDE w:val="0"/>
        <w:autoSpaceDN w:val="0"/>
        <w:adjustRightInd w:val="0"/>
        <w:spacing w:line="240" w:lineRule="auto"/>
        <w:ind w:left="0"/>
        <w:rPr>
          <w:rFonts w:eastAsiaTheme="minorHAnsi" w:cs="Arial"/>
          <w:szCs w:val="18"/>
          <w:lang w:val="en-US"/>
        </w:rPr>
      </w:pPr>
      <w:r w:rsidRPr="00093B95">
        <w:rPr>
          <w:rFonts w:eastAsiaTheme="minorHAnsi" w:cs="Arial"/>
          <w:szCs w:val="18"/>
          <w:lang w:val="en-US"/>
        </w:rPr>
        <w:t xml:space="preserve">The present work provides a complementary study on the thermodynamic behavior of the black liquor SCWG process aiming </w:t>
      </w:r>
      <w:r w:rsidR="00AA1C72">
        <w:rPr>
          <w:rFonts w:eastAsiaTheme="minorHAnsi" w:cs="Arial"/>
          <w:szCs w:val="18"/>
          <w:lang w:val="en-US"/>
        </w:rPr>
        <w:t>at</w:t>
      </w:r>
      <w:r w:rsidR="00E26007">
        <w:rPr>
          <w:rFonts w:eastAsiaTheme="minorHAnsi" w:cs="Arial"/>
          <w:szCs w:val="18"/>
          <w:lang w:val="en-US"/>
        </w:rPr>
        <w:t xml:space="preserve"> </w:t>
      </w:r>
      <w:r w:rsidRPr="00093B95">
        <w:rPr>
          <w:rFonts w:eastAsiaTheme="minorHAnsi" w:cs="Arial"/>
          <w:szCs w:val="18"/>
          <w:lang w:val="en-US"/>
        </w:rPr>
        <w:t xml:space="preserve">hydrogen production. In short, </w:t>
      </w:r>
      <w:proofErr w:type="gramStart"/>
      <w:r w:rsidRPr="00093B95">
        <w:rPr>
          <w:rFonts w:eastAsiaTheme="minorHAnsi" w:cs="Arial"/>
          <w:szCs w:val="18"/>
          <w:lang w:val="en-US"/>
        </w:rPr>
        <w:t>it can be seen that it</w:t>
      </w:r>
      <w:proofErr w:type="gramEnd"/>
      <w:r w:rsidRPr="00093B95">
        <w:rPr>
          <w:rFonts w:eastAsiaTheme="minorHAnsi" w:cs="Arial"/>
          <w:szCs w:val="18"/>
          <w:lang w:val="en-US"/>
        </w:rPr>
        <w:t xml:space="preserve"> is indeed a promising route given the high rates of hydrogen formation throughout the process. A point of attention is the fact that other products are also formed in relatively high quantities, which can be an undesirable factor.</w:t>
      </w:r>
      <w:r>
        <w:rPr>
          <w:rFonts w:eastAsiaTheme="minorHAnsi" w:cs="Arial"/>
          <w:szCs w:val="18"/>
          <w:lang w:val="en-US"/>
        </w:rPr>
        <w:t xml:space="preserve"> </w:t>
      </w:r>
      <w:r w:rsidRPr="00093B95">
        <w:rPr>
          <w:rFonts w:eastAsiaTheme="minorHAnsi" w:cs="Arial"/>
          <w:szCs w:val="18"/>
          <w:lang w:val="en-US"/>
        </w:rPr>
        <w:t xml:space="preserve">Aiming to maximize hydrogen formation, the process must be conducted at high temperatures, low </w:t>
      </w:r>
      <w:proofErr w:type="gramStart"/>
      <w:r w:rsidRPr="00093B95">
        <w:rPr>
          <w:rFonts w:eastAsiaTheme="minorHAnsi" w:cs="Arial"/>
          <w:szCs w:val="18"/>
          <w:lang w:val="en-US"/>
        </w:rPr>
        <w:t>pressures</w:t>
      </w:r>
      <w:proofErr w:type="gramEnd"/>
      <w:r w:rsidRPr="00093B95">
        <w:rPr>
          <w:rFonts w:eastAsiaTheme="minorHAnsi" w:cs="Arial"/>
          <w:szCs w:val="18"/>
          <w:lang w:val="en-US"/>
        </w:rPr>
        <w:t xml:space="preserve"> and low biomass compositions in the feed. However, the addition of biomass to the process feed tends to minimize the molar fraction of hydrogen formed by also increasing the formation of other products.</w:t>
      </w:r>
    </w:p>
    <w:p w14:paraId="77C7C872" w14:textId="77777777" w:rsidR="00093B95" w:rsidRPr="00093B95" w:rsidRDefault="00093B95" w:rsidP="00093B95">
      <w:pPr>
        <w:pStyle w:val="Paragrafoelenco"/>
        <w:tabs>
          <w:tab w:val="clear" w:pos="7100"/>
        </w:tabs>
        <w:autoSpaceDE w:val="0"/>
        <w:autoSpaceDN w:val="0"/>
        <w:adjustRightInd w:val="0"/>
        <w:spacing w:line="240" w:lineRule="auto"/>
        <w:ind w:left="0"/>
        <w:rPr>
          <w:rFonts w:eastAsiaTheme="minorHAnsi" w:cs="Arial"/>
          <w:szCs w:val="18"/>
          <w:lang w:val="en-US"/>
        </w:rPr>
      </w:pPr>
      <w:r w:rsidRPr="00093B95">
        <w:rPr>
          <w:rFonts w:eastAsiaTheme="minorHAnsi" w:cs="Arial"/>
          <w:szCs w:val="18"/>
          <w:lang w:val="en-US"/>
        </w:rPr>
        <w:t>Higher hydrogen formation rates (67.33%) are achieved at elevated temperatures (800 °C), low pressures (220 bar), and low concentrations of black liquor in the process feed (0.60% wt), indicating a strong demand for water in facilitating this process when characterized for hydrogen formation.</w:t>
      </w:r>
      <w:r>
        <w:rPr>
          <w:rFonts w:eastAsiaTheme="minorHAnsi" w:cs="Arial"/>
          <w:szCs w:val="18"/>
          <w:lang w:val="en-US"/>
        </w:rPr>
        <w:t xml:space="preserve"> </w:t>
      </w:r>
      <w:r w:rsidRPr="00093B95">
        <w:rPr>
          <w:rFonts w:eastAsiaTheme="minorHAnsi" w:cs="Arial"/>
          <w:szCs w:val="18"/>
          <w:lang w:val="en-US"/>
        </w:rPr>
        <w:t xml:space="preserve">In addition to the formation of hydrogen, </w:t>
      </w:r>
      <w:proofErr w:type="gramStart"/>
      <w:r w:rsidRPr="00093B95">
        <w:rPr>
          <w:rFonts w:eastAsiaTheme="minorHAnsi" w:cs="Arial"/>
          <w:szCs w:val="18"/>
          <w:lang w:val="en-US"/>
        </w:rPr>
        <w:t>it is clear that the</w:t>
      </w:r>
      <w:proofErr w:type="gramEnd"/>
      <w:r w:rsidRPr="00093B95">
        <w:rPr>
          <w:rFonts w:eastAsiaTheme="minorHAnsi" w:cs="Arial"/>
          <w:szCs w:val="18"/>
          <w:lang w:val="en-US"/>
        </w:rPr>
        <w:t xml:space="preserve"> conditions that optimize the formation of this product also optimize the formation of carbon monoxide, thus indicating that this process could be conditioned for the formation of synthesis gas as well. The proposed thermodynamic model proved to be fast and effective in the calculations carried out in this paper, with computational times of less than 10 seconds in all performed simulations.</w:t>
      </w:r>
    </w:p>
    <w:p w14:paraId="4661BA9F" w14:textId="77777777" w:rsidR="00093B95" w:rsidRDefault="00093B95" w:rsidP="00093B95">
      <w:pPr>
        <w:pStyle w:val="CETBodytext"/>
      </w:pPr>
    </w:p>
    <w:p w14:paraId="2E412D52" w14:textId="77777777" w:rsidR="00FD5631" w:rsidRDefault="00FD5631" w:rsidP="00093B95">
      <w:pPr>
        <w:pStyle w:val="CETBodytext"/>
      </w:pPr>
    </w:p>
    <w:p w14:paraId="1574682D" w14:textId="77777777" w:rsidR="00037A18" w:rsidRPr="00280FAF" w:rsidRDefault="00037A18" w:rsidP="00037A18">
      <w:pPr>
        <w:pStyle w:val="CETHeadingxx"/>
        <w:rPr>
          <w:lang w:val="en-GB"/>
        </w:rPr>
        <w:sectPr w:rsidR="00037A18" w:rsidRPr="00280FAF" w:rsidSect="00A77DDC">
          <w:type w:val="continuous"/>
          <w:pgSz w:w="11906" w:h="16838" w:code="9"/>
          <w:pgMar w:top="1701" w:right="1418" w:bottom="1701" w:left="1701" w:header="1701" w:footer="0" w:gutter="0"/>
          <w:cols w:space="708"/>
          <w:formProt w:val="0"/>
          <w:titlePg/>
          <w:docGrid w:linePitch="360"/>
        </w:sectPr>
      </w:pPr>
      <w:r>
        <w:t>Nomenclature</w:t>
      </w:r>
    </w:p>
    <w:p w14:paraId="2DCD4178" w14:textId="77777777" w:rsidR="00037A18" w:rsidRDefault="00000000" w:rsidP="00037A18">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a</m:t>
            </m:r>
          </m:e>
          <m:sub>
            <m:r>
              <w:rPr>
                <w:rFonts w:ascii="Cambria Math" w:eastAsia="SimSun" w:hAnsi="Cambria Math"/>
              </w:rPr>
              <m:t>mi</m:t>
            </m:r>
          </m:sub>
        </m:sSub>
      </m:oMath>
      <w:r w:rsidR="00037A18" w:rsidRPr="00280FAF">
        <w:rPr>
          <w:rFonts w:eastAsia="SimSun"/>
        </w:rPr>
        <w:t>–</w:t>
      </w:r>
      <w:r w:rsidR="00037A18">
        <w:rPr>
          <w:rFonts w:eastAsia="SimSun"/>
        </w:rPr>
        <w:t xml:space="preserve"> Number of atoms of element </w:t>
      </w:r>
      <w:r w:rsidR="00037A18" w:rsidRPr="00605426">
        <w:rPr>
          <w:rFonts w:eastAsia="SimSun"/>
          <w:i/>
          <w:iCs/>
        </w:rPr>
        <w:t>i</w:t>
      </w:r>
      <w:r w:rsidR="00037A18">
        <w:rPr>
          <w:rFonts w:eastAsia="SimSun"/>
        </w:rPr>
        <w:t xml:space="preserve"> in component </w:t>
      </w:r>
    </w:p>
    <w:p w14:paraId="36555822" w14:textId="77777777" w:rsidR="00037A18" w:rsidRDefault="00037A18" w:rsidP="00037A18">
      <w:pPr>
        <w:pStyle w:val="CETBodytext"/>
        <w:jc w:val="left"/>
        <w:rPr>
          <w:rFonts w:eastAsia="SimSun"/>
        </w:rPr>
      </w:pPr>
      <w:r w:rsidRPr="00173AAE">
        <w:rPr>
          <w:rFonts w:eastAsia="SimSun"/>
          <w:i/>
          <w:iCs/>
        </w:rPr>
        <w:t>a</w:t>
      </w:r>
      <w:r w:rsidRPr="00173AAE">
        <w:rPr>
          <w:rFonts w:eastAsia="SimSun"/>
          <w:i/>
          <w:iCs/>
          <w:vertAlign w:val="subscript"/>
        </w:rPr>
        <w:t>i</w:t>
      </w:r>
      <w:r>
        <w:rPr>
          <w:rFonts w:eastAsia="SimSun"/>
        </w:rPr>
        <w:t xml:space="preserve"> </w:t>
      </w:r>
      <w:r w:rsidRPr="00280FAF">
        <w:rPr>
          <w:rFonts w:eastAsia="SimSun"/>
        </w:rPr>
        <w:t>–</w:t>
      </w:r>
      <w:r w:rsidRPr="00257A6F">
        <w:t xml:space="preserve"> </w:t>
      </w:r>
      <w:r w:rsidRPr="00257A6F">
        <w:rPr>
          <w:rFonts w:eastAsia="SimSun"/>
        </w:rPr>
        <w:t>constant that corrects for attractive potential</w:t>
      </w:r>
      <w:r>
        <w:rPr>
          <w:rFonts w:eastAsia="SimSun"/>
        </w:rPr>
        <w:t xml:space="preserve"> for component </w:t>
      </w:r>
      <w:proofErr w:type="gramStart"/>
      <w:r w:rsidRPr="00257A6F">
        <w:rPr>
          <w:rFonts w:eastAsia="SimSun"/>
          <w:i/>
          <w:iCs/>
        </w:rPr>
        <w:t>i</w:t>
      </w:r>
      <w:proofErr w:type="gramEnd"/>
    </w:p>
    <w:p w14:paraId="0322EB65" w14:textId="77777777" w:rsidR="00037A18" w:rsidRDefault="00037A18" w:rsidP="00037A18">
      <w:pPr>
        <w:pStyle w:val="CETBodytext"/>
        <w:jc w:val="left"/>
        <w:rPr>
          <w:rFonts w:eastAsia="SimSun"/>
        </w:rPr>
      </w:pPr>
      <w:proofErr w:type="spellStart"/>
      <w:r w:rsidRPr="00173AAE">
        <w:rPr>
          <w:rFonts w:eastAsia="SimSun"/>
          <w:i/>
          <w:iCs/>
        </w:rPr>
        <w:t>a</w:t>
      </w:r>
      <w:r w:rsidRPr="00173AAE">
        <w:rPr>
          <w:rFonts w:eastAsia="SimSun"/>
          <w:i/>
          <w:iCs/>
          <w:vertAlign w:val="subscript"/>
        </w:rPr>
        <w:t>j</w:t>
      </w:r>
      <w:proofErr w:type="spellEnd"/>
      <w:r>
        <w:rPr>
          <w:rFonts w:eastAsia="SimSun"/>
        </w:rPr>
        <w:t xml:space="preserve"> </w:t>
      </w:r>
      <w:r w:rsidRPr="00280FAF">
        <w:rPr>
          <w:rFonts w:eastAsia="SimSun"/>
        </w:rPr>
        <w:t>–</w:t>
      </w:r>
      <w:r>
        <w:rPr>
          <w:rFonts w:eastAsia="SimSun"/>
        </w:rPr>
        <w:t xml:space="preserve"> </w:t>
      </w:r>
      <w:r w:rsidRPr="00257A6F">
        <w:rPr>
          <w:rFonts w:eastAsia="SimSun"/>
        </w:rPr>
        <w:t>constant that corrects for attractive potential</w:t>
      </w:r>
      <w:r>
        <w:rPr>
          <w:rFonts w:eastAsia="SimSun"/>
        </w:rPr>
        <w:t xml:space="preserve"> for component </w:t>
      </w:r>
      <w:proofErr w:type="gramStart"/>
      <w:r>
        <w:rPr>
          <w:rFonts w:eastAsia="SimSun"/>
          <w:i/>
          <w:iCs/>
        </w:rPr>
        <w:t>j</w:t>
      </w:r>
      <w:proofErr w:type="gramEnd"/>
    </w:p>
    <w:p w14:paraId="6DAD2967" w14:textId="77777777" w:rsidR="00037A18" w:rsidRDefault="00037A18" w:rsidP="00037A18">
      <w:pPr>
        <w:pStyle w:val="CETBodytext"/>
        <w:jc w:val="left"/>
        <w:rPr>
          <w:rFonts w:eastAsia="SimSun"/>
        </w:rPr>
      </w:pPr>
      <w:r w:rsidRPr="00173AAE">
        <w:rPr>
          <w:rFonts w:eastAsia="SimSun"/>
          <w:i/>
          <w:iCs/>
        </w:rPr>
        <w:t>a</w:t>
      </w:r>
      <w:r w:rsidRPr="00173AAE">
        <w:rPr>
          <w:rFonts w:eastAsia="SimSun"/>
          <w:i/>
          <w:iCs/>
          <w:vertAlign w:val="subscript"/>
        </w:rPr>
        <w:t>m</w:t>
      </w:r>
      <w:r>
        <w:rPr>
          <w:rFonts w:eastAsia="SimSun"/>
        </w:rPr>
        <w:t xml:space="preserve"> </w:t>
      </w:r>
      <w:r w:rsidRPr="00280FAF">
        <w:rPr>
          <w:rFonts w:eastAsia="SimSun"/>
        </w:rPr>
        <w:t>–</w:t>
      </w:r>
      <w:r w:rsidRPr="00257A6F">
        <w:rPr>
          <w:rFonts w:eastAsia="SimSun"/>
        </w:rPr>
        <w:t xml:space="preserve"> constant that corrects for attractive potential</w:t>
      </w:r>
      <w:r>
        <w:rPr>
          <w:rFonts w:eastAsia="SimSun"/>
        </w:rPr>
        <w:t xml:space="preserve"> for </w:t>
      </w:r>
      <w:proofErr w:type="gramStart"/>
      <w:r>
        <w:rPr>
          <w:rFonts w:eastAsia="SimSun"/>
        </w:rPr>
        <w:t>mixture</w:t>
      </w:r>
      <w:proofErr w:type="gramEnd"/>
    </w:p>
    <w:p w14:paraId="271A389A" w14:textId="77777777" w:rsidR="00037A18" w:rsidRPr="00257A6F" w:rsidRDefault="00037A18" w:rsidP="00037A18">
      <w:pPr>
        <w:pStyle w:val="CETBodytext"/>
        <w:jc w:val="left"/>
        <w:rPr>
          <w:rFonts w:eastAsia="SimSun"/>
          <w:lang w:val="pt-BR"/>
        </w:rPr>
      </w:pPr>
      <w:r w:rsidRPr="00257A6F">
        <w:rPr>
          <w:rFonts w:eastAsia="SimSun"/>
          <w:i/>
          <w:iCs/>
          <w:lang w:val="pt-BR"/>
        </w:rPr>
        <w:t>A</w:t>
      </w:r>
      <w:r w:rsidRPr="00257A6F">
        <w:rPr>
          <w:rFonts w:eastAsia="SimSun"/>
          <w:lang w:val="pt-BR"/>
        </w:rPr>
        <w:t xml:space="preserve"> – </w:t>
      </w:r>
      <w:r>
        <w:rPr>
          <w:rFonts w:eastAsia="SimSun"/>
          <w:lang w:val="pt-BR"/>
        </w:rPr>
        <w:t xml:space="preserve">PR </w:t>
      </w:r>
      <w:r w:rsidRPr="00257A6F">
        <w:rPr>
          <w:rFonts w:eastAsia="SimSun"/>
          <w:lang w:val="pt-BR"/>
        </w:rPr>
        <w:t>EOS parameter</w:t>
      </w:r>
    </w:p>
    <w:p w14:paraId="33FA30CE" w14:textId="77777777" w:rsidR="00037A18" w:rsidRDefault="00037A18" w:rsidP="00037A18">
      <w:pPr>
        <w:pStyle w:val="CETBodytext"/>
        <w:jc w:val="left"/>
        <w:rPr>
          <w:rFonts w:eastAsia="SimSun"/>
          <w:lang w:val="pt-BR"/>
        </w:rPr>
      </w:pPr>
      <w:r w:rsidRPr="00257A6F">
        <w:rPr>
          <w:rFonts w:eastAsia="SimSun"/>
          <w:i/>
          <w:iCs/>
          <w:lang w:val="pt-BR"/>
        </w:rPr>
        <w:t>B</w:t>
      </w:r>
      <w:r w:rsidRPr="00257A6F">
        <w:rPr>
          <w:rFonts w:eastAsia="SimSun"/>
          <w:lang w:val="pt-BR"/>
        </w:rPr>
        <w:t xml:space="preserve"> – </w:t>
      </w:r>
      <w:r>
        <w:rPr>
          <w:rFonts w:eastAsia="SimSun"/>
          <w:lang w:val="pt-BR"/>
        </w:rPr>
        <w:t xml:space="preserve">PR </w:t>
      </w:r>
      <w:r w:rsidRPr="00257A6F">
        <w:rPr>
          <w:rFonts w:eastAsia="SimSun"/>
          <w:lang w:val="pt-BR"/>
        </w:rPr>
        <w:t>EOS parameter</w:t>
      </w:r>
    </w:p>
    <w:p w14:paraId="202F25E8" w14:textId="77777777" w:rsidR="00037A18" w:rsidRPr="00037A18" w:rsidRDefault="00037A18" w:rsidP="00037A18">
      <w:pPr>
        <w:pStyle w:val="CETBodytext"/>
        <w:jc w:val="left"/>
        <w:rPr>
          <w:rFonts w:eastAsia="SimSun"/>
        </w:rPr>
      </w:pPr>
      <w:r w:rsidRPr="00037A18">
        <w:rPr>
          <w:rFonts w:eastAsia="SimSun"/>
          <w:i/>
          <w:iCs/>
        </w:rPr>
        <w:t>EoS</w:t>
      </w:r>
      <w:r w:rsidRPr="00037A18">
        <w:rPr>
          <w:rFonts w:eastAsia="SimSun"/>
        </w:rPr>
        <w:t xml:space="preserve"> </w:t>
      </w:r>
      <w:r w:rsidRPr="00280FAF">
        <w:rPr>
          <w:rFonts w:eastAsia="SimSun"/>
        </w:rPr>
        <w:t>–</w:t>
      </w:r>
      <w:r>
        <w:rPr>
          <w:rFonts w:eastAsia="SimSun"/>
        </w:rPr>
        <w:t xml:space="preserve"> Equation of state</w:t>
      </w:r>
    </w:p>
    <w:p w14:paraId="4BCDEB4E" w14:textId="77777777" w:rsidR="00037A18" w:rsidRDefault="00000000" w:rsidP="00037A18">
      <w:pPr>
        <w:pStyle w:val="CETBodytext"/>
        <w:jc w:val="left"/>
        <w:rPr>
          <w:rFonts w:eastAsia="SimSun"/>
        </w:rPr>
      </w:pPr>
      <m:oMath>
        <m:sSubSup>
          <m:sSubSupPr>
            <m:ctrlPr>
              <w:rPr>
                <w:rFonts w:ascii="Cambria Math" w:eastAsia="SimSun" w:hAnsi="Cambria Math"/>
                <w:i/>
              </w:rPr>
            </m:ctrlPr>
          </m:sSubSupPr>
          <m:e>
            <m:r>
              <w:rPr>
                <w:rFonts w:ascii="Cambria Math" w:eastAsia="SimSun" w:hAnsi="Cambria Math"/>
              </w:rPr>
              <m:t>f</m:t>
            </m:r>
          </m:e>
          <m:sub>
            <m:r>
              <w:rPr>
                <w:rFonts w:ascii="Cambria Math" w:eastAsia="SimSun" w:hAnsi="Cambria Math"/>
              </w:rPr>
              <m:t>i</m:t>
            </m:r>
          </m:sub>
          <m:sup>
            <m:r>
              <w:rPr>
                <w:rFonts w:ascii="Cambria Math" w:eastAsia="SimSun" w:hAnsi="Cambria Math"/>
              </w:rPr>
              <m:t>k</m:t>
            </m:r>
          </m:sup>
        </m:sSubSup>
      </m:oMath>
      <w:r w:rsidR="00037A18">
        <w:rPr>
          <w:rFonts w:eastAsia="SimSun"/>
        </w:rPr>
        <w:t xml:space="preserve"> </w:t>
      </w:r>
      <w:r w:rsidR="00037A18" w:rsidRPr="00280FAF">
        <w:rPr>
          <w:rFonts w:eastAsia="SimSun"/>
        </w:rPr>
        <w:t>–</w:t>
      </w:r>
      <w:r w:rsidR="00037A18" w:rsidRPr="00257A6F">
        <w:t xml:space="preserve"> </w:t>
      </w:r>
      <w:r w:rsidR="00037A18" w:rsidRPr="00257A6F">
        <w:rPr>
          <w:rFonts w:eastAsia="SimSun"/>
        </w:rPr>
        <w:t xml:space="preserve">fugacity of component </w:t>
      </w:r>
      <w:r w:rsidR="00037A18" w:rsidRPr="00257A6F">
        <w:rPr>
          <w:rFonts w:eastAsia="SimSun"/>
          <w:i/>
          <w:iCs/>
        </w:rPr>
        <w:t>i</w:t>
      </w:r>
      <w:r w:rsidR="00037A18" w:rsidRPr="00257A6F">
        <w:rPr>
          <w:rFonts w:eastAsia="SimSun"/>
        </w:rPr>
        <w:t xml:space="preserve"> in phase </w:t>
      </w:r>
      <w:r w:rsidR="00037A18" w:rsidRPr="00257A6F">
        <w:rPr>
          <w:rFonts w:eastAsia="SimSun"/>
          <w:i/>
          <w:iCs/>
        </w:rPr>
        <w:t>k</w:t>
      </w:r>
    </w:p>
    <w:p w14:paraId="35C8E7C1" w14:textId="77777777" w:rsidR="00037A18" w:rsidRDefault="00000000" w:rsidP="00037A18">
      <w:pPr>
        <w:pStyle w:val="CETBodytext"/>
        <w:jc w:val="left"/>
        <w:rPr>
          <w:rFonts w:eastAsia="SimSun"/>
        </w:rPr>
      </w:pPr>
      <m:oMath>
        <m:sSubSup>
          <m:sSubSupPr>
            <m:ctrlPr>
              <w:rPr>
                <w:rFonts w:ascii="Cambria Math" w:eastAsia="SimSun" w:hAnsi="Cambria Math"/>
                <w:i/>
              </w:rPr>
            </m:ctrlPr>
          </m:sSubSupPr>
          <m:e>
            <m:r>
              <w:rPr>
                <w:rFonts w:ascii="Cambria Math" w:eastAsia="SimSun" w:hAnsi="Cambria Math"/>
              </w:rPr>
              <m:t>f</m:t>
            </m:r>
          </m:e>
          <m:sub>
            <m:r>
              <w:rPr>
                <w:rFonts w:ascii="Cambria Math" w:eastAsia="SimSun" w:hAnsi="Cambria Math"/>
              </w:rPr>
              <m:t>i</m:t>
            </m:r>
          </m:sub>
          <m:sup>
            <m:r>
              <w:rPr>
                <w:rFonts w:ascii="Cambria Math" w:eastAsia="SimSun" w:hAnsi="Cambria Math"/>
              </w:rPr>
              <m:t>0</m:t>
            </m:r>
          </m:sup>
        </m:sSubSup>
      </m:oMath>
      <w:r w:rsidR="00037A18">
        <w:rPr>
          <w:rFonts w:eastAsia="SimSun"/>
        </w:rPr>
        <w:t xml:space="preserve">  </w:t>
      </w:r>
      <w:r w:rsidR="00037A18" w:rsidRPr="00280FAF">
        <w:rPr>
          <w:rFonts w:eastAsia="SimSun"/>
        </w:rPr>
        <w:t>–</w:t>
      </w:r>
      <w:r w:rsidR="00037A18" w:rsidRPr="00257A6F">
        <w:t xml:space="preserve"> </w:t>
      </w:r>
      <w:r w:rsidR="00037A18" w:rsidRPr="00257A6F">
        <w:rPr>
          <w:rFonts w:eastAsia="SimSun"/>
        </w:rPr>
        <w:t xml:space="preserve">fugacity of pure species </w:t>
      </w:r>
      <w:r w:rsidR="00037A18" w:rsidRPr="00257A6F">
        <w:rPr>
          <w:rFonts w:eastAsia="SimSun"/>
          <w:i/>
          <w:iCs/>
        </w:rPr>
        <w:t>i</w:t>
      </w:r>
      <w:r w:rsidR="00037A18" w:rsidRPr="00257A6F">
        <w:rPr>
          <w:rFonts w:eastAsia="SimSun"/>
        </w:rPr>
        <w:t xml:space="preserve"> in a standard reference state</w:t>
      </w:r>
    </w:p>
    <w:p w14:paraId="776F9779" w14:textId="77777777" w:rsidR="00037A18" w:rsidRPr="008F1C39" w:rsidRDefault="00037A18" w:rsidP="00037A18">
      <w:pPr>
        <w:pStyle w:val="CETBodytext"/>
        <w:jc w:val="left"/>
        <w:rPr>
          <w:rFonts w:eastAsia="SimSun"/>
        </w:rPr>
      </w:pPr>
      <w:r w:rsidRPr="00173AAE">
        <w:rPr>
          <w:rFonts w:eastAsia="SimSun"/>
          <w:i/>
          <w:iCs/>
        </w:rPr>
        <w:t>G</w:t>
      </w:r>
      <w:r w:rsidRPr="008F1C39">
        <w:rPr>
          <w:rFonts w:eastAsia="SimSun"/>
        </w:rPr>
        <w:t xml:space="preserve"> – Gibbs energy</w:t>
      </w:r>
    </w:p>
    <w:p w14:paraId="0F12FE49" w14:textId="77777777" w:rsidR="00037A18" w:rsidRDefault="00037A18" w:rsidP="00037A18">
      <w:pPr>
        <w:pStyle w:val="CETBodytext"/>
        <w:jc w:val="left"/>
        <w:rPr>
          <w:rFonts w:eastAsia="SimSun"/>
        </w:rPr>
      </w:pPr>
      <w:r w:rsidRPr="009D530C">
        <w:rPr>
          <w:rFonts w:eastAsia="SimSun" w:cs="Arial"/>
          <w:i/>
          <w:iCs/>
        </w:rPr>
        <w:t>T</w:t>
      </w:r>
      <w:r w:rsidRPr="00280FAF">
        <w:rPr>
          <w:rFonts w:eastAsia="SimSun"/>
          <w:lang w:val="el-GR"/>
        </w:rPr>
        <w:t xml:space="preserve"> – </w:t>
      </w:r>
      <w:r>
        <w:rPr>
          <w:rFonts w:eastAsia="SimSun"/>
        </w:rPr>
        <w:t>Temperature</w:t>
      </w:r>
    </w:p>
    <w:p w14:paraId="66B1FDC6" w14:textId="77777777" w:rsidR="00037A18" w:rsidRPr="00280FAF" w:rsidRDefault="00037A18" w:rsidP="00037A18">
      <w:pPr>
        <w:pStyle w:val="CETBodytext"/>
        <w:jc w:val="left"/>
        <w:rPr>
          <w:rFonts w:eastAsia="SimSun"/>
        </w:rPr>
      </w:pPr>
      <w:r w:rsidRPr="009D530C">
        <w:rPr>
          <w:rFonts w:eastAsia="SimSun"/>
          <w:i/>
          <w:iCs/>
        </w:rPr>
        <w:t>P</w:t>
      </w:r>
      <w:r w:rsidRPr="00280FAF">
        <w:rPr>
          <w:rFonts w:eastAsia="SimSun"/>
          <w:lang w:val="el-GR"/>
        </w:rPr>
        <w:t xml:space="preserve"> </w:t>
      </w:r>
      <w:r w:rsidRPr="00280FAF">
        <w:rPr>
          <w:rFonts w:eastAsia="SimSun"/>
        </w:rPr>
        <w:t>–</w:t>
      </w:r>
      <w:r>
        <w:rPr>
          <w:rFonts w:eastAsia="SimSun"/>
        </w:rPr>
        <w:t xml:space="preserve"> Pressure</w:t>
      </w:r>
    </w:p>
    <w:p w14:paraId="55618B2A" w14:textId="77777777" w:rsidR="00037A18" w:rsidRDefault="00000000" w:rsidP="00037A18">
      <w:pPr>
        <w:pStyle w:val="CETBodytext"/>
        <w:jc w:val="left"/>
        <w:rPr>
          <w:rFonts w:eastAsia="SimSun"/>
          <w:i/>
          <w:iCs/>
        </w:rPr>
      </w:pPr>
      <m:oMath>
        <m:sSubSup>
          <m:sSubSupPr>
            <m:ctrlPr>
              <w:rPr>
                <w:rFonts w:ascii="Cambria Math" w:eastAsia="SimSun" w:hAnsi="Cambria Math"/>
                <w:i/>
              </w:rPr>
            </m:ctrlPr>
          </m:sSubSupPr>
          <m:e>
            <m:r>
              <w:rPr>
                <w:rFonts w:ascii="Cambria Math" w:eastAsia="SimSun" w:hAnsi="Cambria Math"/>
              </w:rPr>
              <m:t>n</m:t>
            </m:r>
          </m:e>
          <m:sub>
            <m:r>
              <w:rPr>
                <w:rFonts w:ascii="Cambria Math" w:eastAsia="SimSun" w:hAnsi="Cambria Math"/>
              </w:rPr>
              <m:t>i</m:t>
            </m:r>
          </m:sub>
          <m:sup>
            <m:r>
              <w:rPr>
                <w:rFonts w:ascii="Cambria Math" w:eastAsia="SimSun" w:hAnsi="Cambria Math"/>
              </w:rPr>
              <m:t>k</m:t>
            </m:r>
          </m:sup>
        </m:sSubSup>
      </m:oMath>
      <w:r w:rsidR="00037A18">
        <w:rPr>
          <w:rFonts w:eastAsia="SimSun"/>
        </w:rPr>
        <w:t xml:space="preserve"> </w:t>
      </w:r>
      <w:r w:rsidR="00037A18" w:rsidRPr="00280FAF">
        <w:rPr>
          <w:rFonts w:eastAsia="SimSun"/>
        </w:rPr>
        <w:t>–</w:t>
      </w:r>
      <w:r w:rsidR="00037A18">
        <w:rPr>
          <w:rFonts w:eastAsia="SimSun"/>
        </w:rPr>
        <w:t xml:space="preserve"> Number of moles of component </w:t>
      </w:r>
      <w:r w:rsidR="00037A18" w:rsidRPr="00605426">
        <w:rPr>
          <w:rFonts w:eastAsia="SimSun"/>
          <w:i/>
          <w:iCs/>
        </w:rPr>
        <w:t>i</w:t>
      </w:r>
      <w:r w:rsidR="00037A18">
        <w:rPr>
          <w:rFonts w:eastAsia="SimSun"/>
        </w:rPr>
        <w:t xml:space="preserve"> in phase </w:t>
      </w:r>
      <w:r w:rsidR="00037A18" w:rsidRPr="00605426">
        <w:rPr>
          <w:rFonts w:eastAsia="SimSun"/>
          <w:i/>
          <w:iCs/>
        </w:rPr>
        <w:t>k</w:t>
      </w:r>
    </w:p>
    <w:p w14:paraId="1A24BC3A" w14:textId="77777777" w:rsidR="00037A18" w:rsidRDefault="00000000" w:rsidP="00037A18">
      <w:pPr>
        <w:pStyle w:val="CETBodytext"/>
        <w:jc w:val="left"/>
        <w:rPr>
          <w:rFonts w:eastAsia="SimSun"/>
        </w:rPr>
      </w:pPr>
      <m:oMath>
        <m:sSubSup>
          <m:sSubSupPr>
            <m:ctrlPr>
              <w:rPr>
                <w:rFonts w:ascii="Cambria Math" w:eastAsia="SimSun" w:hAnsi="Cambria Math"/>
                <w:i/>
              </w:rPr>
            </m:ctrlPr>
          </m:sSubSupPr>
          <m:e>
            <m:r>
              <w:rPr>
                <w:rFonts w:ascii="Cambria Math" w:eastAsia="SimSun" w:hAnsi="Cambria Math"/>
              </w:rPr>
              <m:t>n</m:t>
            </m:r>
          </m:e>
          <m:sub>
            <m:r>
              <w:rPr>
                <w:rFonts w:ascii="Cambria Math" w:eastAsia="SimSun" w:hAnsi="Cambria Math"/>
              </w:rPr>
              <m:t>i</m:t>
            </m:r>
          </m:sub>
          <m:sup>
            <m:r>
              <w:rPr>
                <w:rFonts w:ascii="Cambria Math" w:eastAsia="SimSun" w:hAnsi="Cambria Math"/>
              </w:rPr>
              <m:t>0</m:t>
            </m:r>
          </m:sup>
        </m:sSubSup>
        <m:r>
          <m:rPr>
            <m:sty m:val="p"/>
          </m:rPr>
          <w:rPr>
            <w:rFonts w:ascii="Cambria Math" w:eastAsia="SimSun" w:hAnsi="Cambria Math"/>
          </w:rPr>
          <m:t xml:space="preserve"> –</m:t>
        </m:r>
        <m:r>
          <w:rPr>
            <w:rFonts w:ascii="Cambria Math" w:eastAsia="SimSun" w:hAnsi="Cambria Math"/>
          </w:rPr>
          <m:t xml:space="preserve"> </m:t>
        </m:r>
      </m:oMath>
      <w:r w:rsidR="00037A18">
        <w:rPr>
          <w:rFonts w:eastAsia="SimSun"/>
        </w:rPr>
        <w:t>Number of moles in standard phase</w:t>
      </w:r>
    </w:p>
    <w:p w14:paraId="0E55BB1D" w14:textId="77777777" w:rsidR="00037A18" w:rsidRDefault="00037A18" w:rsidP="00037A18">
      <w:pPr>
        <w:pStyle w:val="CETBodytext"/>
        <w:jc w:val="left"/>
        <w:rPr>
          <w:rFonts w:eastAsia="SimSun"/>
        </w:rPr>
      </w:pPr>
      <w:r w:rsidRPr="009D530C">
        <w:rPr>
          <w:rFonts w:eastAsia="SimSun"/>
          <w:i/>
          <w:iCs/>
        </w:rPr>
        <w:t>NC</w:t>
      </w:r>
      <w:r>
        <w:rPr>
          <w:rFonts w:eastAsia="SimSun"/>
        </w:rPr>
        <w:t xml:space="preserve"> </w:t>
      </w:r>
      <w:r w:rsidRPr="00280FAF">
        <w:rPr>
          <w:rFonts w:eastAsia="SimSun"/>
        </w:rPr>
        <w:t>–</w:t>
      </w:r>
      <w:r>
        <w:rPr>
          <w:rFonts w:eastAsia="SimSun"/>
        </w:rPr>
        <w:t xml:space="preserve"> Number of components</w:t>
      </w:r>
    </w:p>
    <w:p w14:paraId="09F80A4D" w14:textId="77777777" w:rsidR="00037A18" w:rsidRDefault="00037A18" w:rsidP="00037A18">
      <w:pPr>
        <w:pStyle w:val="CETBodytext"/>
        <w:jc w:val="left"/>
        <w:rPr>
          <w:rFonts w:eastAsia="SimSun"/>
        </w:rPr>
      </w:pPr>
      <w:r w:rsidRPr="009D530C">
        <w:rPr>
          <w:rFonts w:eastAsia="SimSun"/>
          <w:i/>
          <w:iCs/>
        </w:rPr>
        <w:t>N</w:t>
      </w:r>
      <w:r>
        <w:rPr>
          <w:rFonts w:eastAsia="SimSun"/>
          <w:i/>
          <w:iCs/>
        </w:rPr>
        <w:t>F</w:t>
      </w:r>
      <w:r>
        <w:rPr>
          <w:rFonts w:eastAsia="SimSun"/>
        </w:rPr>
        <w:t xml:space="preserve"> </w:t>
      </w:r>
      <w:r w:rsidRPr="00280FAF">
        <w:rPr>
          <w:rFonts w:eastAsia="SimSun"/>
        </w:rPr>
        <w:t>–</w:t>
      </w:r>
      <w:r>
        <w:rPr>
          <w:rFonts w:eastAsia="SimSun"/>
        </w:rPr>
        <w:t xml:space="preserve"> Number of Phases</w:t>
      </w:r>
    </w:p>
    <w:p w14:paraId="0BAFD962" w14:textId="77777777" w:rsidR="00037A18" w:rsidRDefault="00037A18" w:rsidP="00037A18">
      <w:pPr>
        <w:pStyle w:val="CETBodytext"/>
        <w:jc w:val="left"/>
        <w:rPr>
          <w:rFonts w:eastAsia="SimSun"/>
        </w:rPr>
      </w:pPr>
      <w:r w:rsidRPr="00EC42F1">
        <w:rPr>
          <w:rFonts w:eastAsia="SimSun"/>
          <w:i/>
          <w:iCs/>
        </w:rPr>
        <w:t>PR</w:t>
      </w:r>
      <w:r>
        <w:rPr>
          <w:rFonts w:eastAsia="SimSun"/>
        </w:rPr>
        <w:t xml:space="preserve"> </w:t>
      </w:r>
      <w:r w:rsidRPr="00280FAF">
        <w:rPr>
          <w:rFonts w:eastAsia="SimSun"/>
        </w:rPr>
        <w:t>–</w:t>
      </w:r>
      <w:r>
        <w:rPr>
          <w:rFonts w:eastAsia="SimSun"/>
        </w:rPr>
        <w:t xml:space="preserve"> Peng Robinson equation of state</w:t>
      </w:r>
    </w:p>
    <w:p w14:paraId="74333AEC" w14:textId="77777777" w:rsidR="00037A18" w:rsidRDefault="00037A18" w:rsidP="00037A18">
      <w:pPr>
        <w:pStyle w:val="CETBodytext"/>
        <w:jc w:val="left"/>
        <w:rPr>
          <w:rFonts w:eastAsia="SimSun"/>
        </w:rPr>
      </w:pPr>
      <w:r>
        <w:rPr>
          <w:rFonts w:eastAsia="SimSun"/>
        </w:rPr>
        <w:t xml:space="preserve">SCWG </w:t>
      </w:r>
      <w:r w:rsidRPr="00280FAF">
        <w:rPr>
          <w:rFonts w:eastAsia="SimSun"/>
        </w:rPr>
        <w:t>–</w:t>
      </w:r>
      <w:r>
        <w:rPr>
          <w:rFonts w:eastAsia="SimSun"/>
        </w:rPr>
        <w:t xml:space="preserve"> Supercritical Water Gasification</w:t>
      </w:r>
    </w:p>
    <w:p w14:paraId="6C686405" w14:textId="77777777" w:rsidR="00037A18" w:rsidRDefault="00000000" w:rsidP="00037A18">
      <w:pPr>
        <w:pStyle w:val="CETBodytext"/>
        <w:jc w:val="left"/>
        <w:rPr>
          <w:rFonts w:eastAsia="SimSun"/>
          <w:i/>
          <w:iCs/>
        </w:rPr>
      </w:pPr>
      <m:oMath>
        <m:sSubSup>
          <m:sSubSupPr>
            <m:ctrlPr>
              <w:rPr>
                <w:rFonts w:ascii="Cambria Math" w:eastAsia="SimSun" w:hAnsi="Cambria Math"/>
                <w:i/>
              </w:rPr>
            </m:ctrlPr>
          </m:sSubSupPr>
          <m:e>
            <m:r>
              <w:rPr>
                <w:rFonts w:ascii="Cambria Math" w:eastAsia="SimSun" w:hAnsi="Cambria Math"/>
              </w:rPr>
              <m:t>μ</m:t>
            </m:r>
          </m:e>
          <m:sub>
            <m:r>
              <w:rPr>
                <w:rFonts w:ascii="Cambria Math" w:eastAsia="SimSun" w:hAnsi="Cambria Math"/>
              </w:rPr>
              <m:t>i</m:t>
            </m:r>
          </m:sub>
          <m:sup>
            <m:r>
              <w:rPr>
                <w:rFonts w:ascii="Cambria Math" w:eastAsia="SimSun" w:hAnsi="Cambria Math"/>
              </w:rPr>
              <m:t>0</m:t>
            </m:r>
          </m:sup>
        </m:sSubSup>
      </m:oMath>
      <w:r w:rsidR="00037A18">
        <w:rPr>
          <w:rFonts w:eastAsia="SimSun"/>
        </w:rPr>
        <w:t xml:space="preserve"> </w:t>
      </w:r>
      <w:r w:rsidR="00037A18" w:rsidRPr="00280FAF">
        <w:rPr>
          <w:rFonts w:eastAsia="SimSun"/>
        </w:rPr>
        <w:t>–</w:t>
      </w:r>
      <w:r w:rsidR="00037A18">
        <w:rPr>
          <w:rFonts w:eastAsia="SimSun"/>
        </w:rPr>
        <w:t xml:space="preserve"> Chemical potential of component </w:t>
      </w:r>
      <w:r w:rsidR="00037A18" w:rsidRPr="00C469F8">
        <w:rPr>
          <w:rFonts w:eastAsia="SimSun"/>
          <w:i/>
          <w:iCs/>
        </w:rPr>
        <w:t>i</w:t>
      </w:r>
      <w:r w:rsidR="00037A18">
        <w:rPr>
          <w:rFonts w:eastAsia="SimSun"/>
        </w:rPr>
        <w:t xml:space="preserve"> in reference state</w:t>
      </w:r>
    </w:p>
    <w:p w14:paraId="7BD2106B" w14:textId="77777777" w:rsidR="00037A18" w:rsidRDefault="00000000" w:rsidP="00037A18">
      <w:pPr>
        <w:pStyle w:val="CETBodytext"/>
        <w:jc w:val="left"/>
        <w:rPr>
          <w:rFonts w:eastAsia="SimSun"/>
        </w:rPr>
      </w:pPr>
      <m:oMath>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i</m:t>
            </m:r>
          </m:sub>
        </m:sSub>
      </m:oMath>
      <w:r w:rsidR="00037A18">
        <w:rPr>
          <w:rFonts w:eastAsia="SimSun"/>
        </w:rPr>
        <w:t xml:space="preserve"> </w:t>
      </w:r>
      <w:r w:rsidR="00037A18" w:rsidRPr="00280FAF">
        <w:rPr>
          <w:rFonts w:eastAsia="SimSun"/>
        </w:rPr>
        <w:t>–</w:t>
      </w:r>
      <w:r w:rsidR="00037A18">
        <w:rPr>
          <w:rFonts w:eastAsia="SimSun"/>
        </w:rPr>
        <w:t xml:space="preserve"> Molar fraction of gas phase</w:t>
      </w:r>
    </w:p>
    <w:p w14:paraId="44CCDBC5" w14:textId="77777777" w:rsidR="00037A18" w:rsidRDefault="00037A18" w:rsidP="00037A18">
      <w:pPr>
        <w:pStyle w:val="CETBodytext"/>
        <w:jc w:val="left"/>
        <w:rPr>
          <w:rFonts w:eastAsia="SimSun"/>
        </w:rPr>
      </w:pPr>
      <w:r w:rsidRPr="00173AAE">
        <w:rPr>
          <w:rFonts w:eastAsia="SimSun"/>
          <w:i/>
          <w:iCs/>
        </w:rPr>
        <w:t>Z</w:t>
      </w:r>
      <w:r>
        <w:rPr>
          <w:rFonts w:eastAsia="SimSun"/>
        </w:rPr>
        <w:t xml:space="preserve"> </w:t>
      </w:r>
      <w:r w:rsidRPr="00280FAF">
        <w:rPr>
          <w:rFonts w:eastAsia="SimSun"/>
        </w:rPr>
        <w:t>–</w:t>
      </w:r>
      <w:r>
        <w:rPr>
          <w:rFonts w:eastAsia="SimSun"/>
        </w:rPr>
        <w:t xml:space="preserve"> </w:t>
      </w:r>
      <w:r w:rsidRPr="00257A6F">
        <w:rPr>
          <w:rFonts w:eastAsia="SimSun"/>
        </w:rPr>
        <w:t>compressibility factor</w:t>
      </w:r>
    </w:p>
    <w:p w14:paraId="0217FAFF" w14:textId="77777777" w:rsidR="00037A18" w:rsidRPr="00037A18" w:rsidRDefault="00000000" w:rsidP="00037A18">
      <w:pPr>
        <w:pStyle w:val="CETBodytext"/>
        <w:jc w:val="left"/>
        <w:rPr>
          <w:rFonts w:eastAsia="SimSun"/>
        </w:rPr>
      </w:pPr>
      <m:oMath>
        <m:sSub>
          <m:sSubPr>
            <m:ctrlPr>
              <w:rPr>
                <w:rFonts w:ascii="Cambria Math" w:eastAsia="SimSun" w:hAnsi="Cambria Math"/>
                <w:i/>
              </w:rPr>
            </m:ctrlPr>
          </m:sSubPr>
          <m:e>
            <m:acc>
              <m:accPr>
                <m:ctrlPr>
                  <w:rPr>
                    <w:rFonts w:ascii="Cambria Math" w:eastAsia="SimSun" w:hAnsi="Cambria Math"/>
                    <w:i/>
                  </w:rPr>
                </m:ctrlPr>
              </m:accPr>
              <m:e>
                <m:r>
                  <w:rPr>
                    <w:rFonts w:ascii="Cambria Math" w:eastAsia="SimSun" w:hAnsi="Cambria Math"/>
                  </w:rPr>
                  <m:t>ϕ</m:t>
                </m:r>
              </m:e>
            </m:acc>
          </m:e>
          <m:sub>
            <m:r>
              <w:rPr>
                <w:rFonts w:ascii="Cambria Math" w:eastAsia="SimSun" w:hAnsi="Cambria Math"/>
              </w:rPr>
              <m:t>i</m:t>
            </m:r>
          </m:sub>
        </m:sSub>
      </m:oMath>
      <w:r w:rsidR="00037A18">
        <w:rPr>
          <w:rFonts w:eastAsia="SimSun"/>
        </w:rPr>
        <w:t xml:space="preserve"> </w:t>
      </w:r>
      <w:r w:rsidR="00037A18" w:rsidRPr="00280FAF">
        <w:rPr>
          <w:rFonts w:eastAsia="SimSun"/>
        </w:rPr>
        <w:t>–</w:t>
      </w:r>
      <w:r w:rsidR="00037A18">
        <w:rPr>
          <w:rFonts w:eastAsia="SimSun"/>
        </w:rPr>
        <w:t xml:space="preserve"> Fugacity coefficient of component </w:t>
      </w:r>
      <w:r w:rsidR="00037A18" w:rsidRPr="009D530C">
        <w:rPr>
          <w:rFonts w:eastAsia="SimSun"/>
          <w:i/>
          <w:iCs/>
        </w:rPr>
        <w:t>i</w:t>
      </w:r>
      <w:r w:rsidR="00037A18">
        <w:rPr>
          <w:rFonts w:eastAsia="SimSun"/>
        </w:rPr>
        <w:t xml:space="preserve"> in mixture</w:t>
      </w:r>
    </w:p>
    <w:p w14:paraId="6D04C7B9" w14:textId="77777777" w:rsidR="00037A18" w:rsidRDefault="00037A18" w:rsidP="006B4083">
      <w:pPr>
        <w:pStyle w:val="CETAcknowledgementstitle"/>
        <w:sectPr w:rsidR="00037A18" w:rsidSect="00A77DDC">
          <w:type w:val="continuous"/>
          <w:pgSz w:w="11906" w:h="16838" w:code="9"/>
          <w:pgMar w:top="1701" w:right="1418" w:bottom="1701" w:left="1701" w:header="1701" w:footer="0" w:gutter="0"/>
          <w:cols w:num="2" w:space="708"/>
          <w:formProt w:val="0"/>
          <w:titlePg/>
          <w:docGrid w:linePitch="360"/>
        </w:sectPr>
      </w:pPr>
    </w:p>
    <w:p w14:paraId="6B6F0229" w14:textId="77777777" w:rsidR="00037A18" w:rsidRDefault="00037A18" w:rsidP="006B4083">
      <w:pPr>
        <w:pStyle w:val="CETAcknowledgementstitle"/>
      </w:pPr>
    </w:p>
    <w:p w14:paraId="1CB2DCB4" w14:textId="77777777" w:rsidR="006B4083" w:rsidRDefault="006B4083" w:rsidP="006B4083">
      <w:pPr>
        <w:pStyle w:val="CETAcknowledgementstitle"/>
      </w:pPr>
      <w:r w:rsidRPr="00B57B36">
        <w:t>Acknowledgments</w:t>
      </w:r>
    </w:p>
    <w:p w14:paraId="14C997F8" w14:textId="77777777" w:rsidR="00600535" w:rsidRPr="00B57B36" w:rsidRDefault="003E27D5" w:rsidP="00600535">
      <w:pPr>
        <w:pStyle w:val="CETBodytext"/>
        <w:rPr>
          <w:lang w:val="en-GB"/>
        </w:rPr>
      </w:pPr>
      <w:r>
        <w:t xml:space="preserve">The authors gratefully acknowledge the financial support received from </w:t>
      </w:r>
      <w:proofErr w:type="spellStart"/>
      <w:r>
        <w:t>CNPq</w:t>
      </w:r>
      <w:proofErr w:type="spellEnd"/>
      <w:r>
        <w:t xml:space="preserve"> - </w:t>
      </w:r>
      <w:proofErr w:type="spellStart"/>
      <w:r>
        <w:t>Conselho</w:t>
      </w:r>
      <w:proofErr w:type="spellEnd"/>
      <w:r>
        <w:t xml:space="preserve"> Nacional de </w:t>
      </w:r>
      <w:proofErr w:type="spellStart"/>
      <w:r>
        <w:t>Desenvolvimento</w:t>
      </w:r>
      <w:proofErr w:type="spellEnd"/>
      <w:r>
        <w:t xml:space="preserve"> </w:t>
      </w:r>
      <w:proofErr w:type="spellStart"/>
      <w:r>
        <w:t>Científico</w:t>
      </w:r>
      <w:proofErr w:type="spellEnd"/>
      <w:r>
        <w:t xml:space="preserve"> e </w:t>
      </w:r>
      <w:proofErr w:type="spellStart"/>
      <w:r>
        <w:t>Tecnológico</w:t>
      </w:r>
      <w:proofErr w:type="spellEnd"/>
      <w:r>
        <w:t xml:space="preserve"> (Process 130572/2020-9).</w:t>
      </w:r>
    </w:p>
    <w:p w14:paraId="14D7CFE0" w14:textId="77777777" w:rsidR="006B4083" w:rsidRDefault="00600535" w:rsidP="00600535">
      <w:pPr>
        <w:pStyle w:val="CETReference"/>
      </w:pPr>
      <w:r w:rsidRPr="00B57B36">
        <w:t>References</w:t>
      </w:r>
    </w:p>
    <w:p w14:paraId="364E827E" w14:textId="77777777" w:rsidR="005E23A5" w:rsidRPr="006F226C" w:rsidRDefault="005E23A5" w:rsidP="00063C09">
      <w:pPr>
        <w:pStyle w:val="CETReferencetext"/>
        <w:rPr>
          <w:rFonts w:cs="Arial"/>
          <w:color w:val="000000" w:themeColor="text1"/>
          <w:szCs w:val="18"/>
        </w:rPr>
      </w:pPr>
      <w:r w:rsidRPr="006F226C">
        <w:rPr>
          <w:rFonts w:cs="Arial"/>
          <w:color w:val="000000" w:themeColor="text1"/>
          <w:szCs w:val="18"/>
        </w:rPr>
        <w:t xml:space="preserve">Agresti A. 2012. Categorical data analysis. vol. 792. John Wiley &amp; Sons. </w:t>
      </w:r>
    </w:p>
    <w:p w14:paraId="7CF0E580" w14:textId="77777777" w:rsidR="005E23A5" w:rsidRPr="00244D94" w:rsidRDefault="005E23A5" w:rsidP="00063C09">
      <w:pPr>
        <w:pStyle w:val="CETReferencetext"/>
        <w:rPr>
          <w:rFonts w:cs="Arial"/>
          <w:color w:val="000000" w:themeColor="text1"/>
          <w:szCs w:val="18"/>
          <w:lang w:val="it-IT"/>
        </w:rPr>
      </w:pPr>
      <w:r w:rsidRPr="006F226C">
        <w:rPr>
          <w:rFonts w:cs="Arial"/>
          <w:color w:val="000000" w:themeColor="text1"/>
          <w:szCs w:val="18"/>
          <w:lang w:val="pt-BR"/>
        </w:rPr>
        <w:t xml:space="preserve">Barros T V., Carregosa J d. C, Wisniewski Jr A, Freitas ACD, Guirardello R, Ferreira-Pinto L. 2022. </w:t>
      </w:r>
      <w:r w:rsidRPr="006F226C">
        <w:rPr>
          <w:rFonts w:cs="Arial"/>
          <w:color w:val="000000" w:themeColor="text1"/>
          <w:szCs w:val="18"/>
        </w:rPr>
        <w:t xml:space="preserve">Assessment of black liquor hydrothermal treatment under sub- and supercritical conditions: Products distribution and economic perspectives. </w:t>
      </w:r>
      <w:r w:rsidRPr="00244D94">
        <w:rPr>
          <w:rFonts w:cs="Arial"/>
          <w:color w:val="000000" w:themeColor="text1"/>
          <w:szCs w:val="18"/>
          <w:lang w:val="it-IT"/>
        </w:rPr>
        <w:t xml:space="preserve">Chemosphere, 286, 131774. </w:t>
      </w:r>
    </w:p>
    <w:p w14:paraId="40A15583" w14:textId="77777777" w:rsidR="005E23A5" w:rsidRPr="006F226C" w:rsidRDefault="005E23A5" w:rsidP="00063C09">
      <w:pPr>
        <w:pStyle w:val="CETReferencetext"/>
        <w:rPr>
          <w:rFonts w:cs="Arial"/>
          <w:color w:val="000000" w:themeColor="text1"/>
          <w:szCs w:val="18"/>
          <w:lang w:val="pt-BR"/>
        </w:rPr>
      </w:pPr>
      <w:r w:rsidRPr="00244D94">
        <w:rPr>
          <w:rFonts w:cs="Arial"/>
          <w:color w:val="000000" w:themeColor="text1"/>
          <w:szCs w:val="18"/>
          <w:lang w:val="it-IT"/>
        </w:rPr>
        <w:t xml:space="preserve">Ciuffi B, Chiaramonti D, Rizzo AM, Frediani M, Rosi L. 2020. </w:t>
      </w:r>
      <w:r w:rsidRPr="006F226C">
        <w:rPr>
          <w:rFonts w:cs="Arial"/>
          <w:color w:val="000000" w:themeColor="text1"/>
          <w:szCs w:val="18"/>
        </w:rPr>
        <w:t xml:space="preserve">A critical review of SCWG in the context of available gasification technologies for plastic waste. </w:t>
      </w:r>
      <w:r w:rsidRPr="006F226C">
        <w:rPr>
          <w:rFonts w:cs="Arial"/>
          <w:color w:val="000000" w:themeColor="text1"/>
          <w:szCs w:val="18"/>
          <w:lang w:val="pt-BR"/>
        </w:rPr>
        <w:t xml:space="preserve">Applied Sciences, 10, 6307. </w:t>
      </w:r>
    </w:p>
    <w:p w14:paraId="085A5FBB" w14:textId="77777777" w:rsidR="0016490B" w:rsidRPr="006F226C" w:rsidRDefault="0016490B" w:rsidP="00063C09">
      <w:pPr>
        <w:pStyle w:val="CETReferencetext"/>
        <w:rPr>
          <w:rFonts w:cs="Arial"/>
          <w:color w:val="000000" w:themeColor="text1"/>
          <w:szCs w:val="18"/>
        </w:rPr>
      </w:pPr>
      <w:r w:rsidRPr="006F226C">
        <w:rPr>
          <w:rFonts w:cs="Arial"/>
          <w:color w:val="000000" w:themeColor="text1"/>
          <w:szCs w:val="18"/>
          <w:lang w:val="pt-BR"/>
        </w:rPr>
        <w:t xml:space="preserve">Dias IM, Mourão LC, De Souza GBM, Abelleira-Pereira JM, Dos Santos-Junior JM, De Freitas ACD, Cardozo-Filho L, Alonso CG, Guirardello R. 2024. </w:t>
      </w:r>
      <w:r w:rsidRPr="006F226C">
        <w:rPr>
          <w:rFonts w:cs="Arial"/>
          <w:color w:val="000000" w:themeColor="text1"/>
          <w:szCs w:val="18"/>
        </w:rPr>
        <w:t xml:space="preserve">Treatment of Antihypertensive and Cardiovascular Drugs in Supercritical Water: An Experimental and </w:t>
      </w:r>
      <w:proofErr w:type="spellStart"/>
      <w:r w:rsidRPr="006F226C">
        <w:rPr>
          <w:rFonts w:cs="Arial"/>
          <w:color w:val="000000" w:themeColor="text1"/>
          <w:szCs w:val="18"/>
        </w:rPr>
        <w:t>Modeled</w:t>
      </w:r>
      <w:proofErr w:type="spellEnd"/>
      <w:r w:rsidRPr="006F226C">
        <w:rPr>
          <w:rFonts w:cs="Arial"/>
          <w:color w:val="000000" w:themeColor="text1"/>
          <w:szCs w:val="18"/>
        </w:rPr>
        <w:t xml:space="preserve"> Approach. Water. 16(1):125</w:t>
      </w:r>
    </w:p>
    <w:p w14:paraId="0E1733F2" w14:textId="77777777" w:rsidR="005E23A5" w:rsidRPr="006F226C" w:rsidRDefault="005E23A5" w:rsidP="00063C09">
      <w:pPr>
        <w:pStyle w:val="CETReferencetext"/>
        <w:rPr>
          <w:rFonts w:cs="Arial"/>
          <w:color w:val="000000" w:themeColor="text1"/>
          <w:szCs w:val="18"/>
        </w:rPr>
      </w:pPr>
      <w:r w:rsidRPr="006F226C">
        <w:rPr>
          <w:rFonts w:cs="Arial"/>
          <w:color w:val="000000" w:themeColor="text1"/>
          <w:szCs w:val="18"/>
        </w:rPr>
        <w:t xml:space="preserve">Dowling AW, Balwani C, Gao Q, Biegler LT. 2015. Optimization of sub-ambient separation systems with embedded cubic equation of state thermodynamic models and complementarity constraints. </w:t>
      </w:r>
      <w:proofErr w:type="spellStart"/>
      <w:r w:rsidRPr="006F226C">
        <w:rPr>
          <w:rFonts w:cs="Arial"/>
          <w:color w:val="000000" w:themeColor="text1"/>
          <w:szCs w:val="18"/>
        </w:rPr>
        <w:t>Comput</w:t>
      </w:r>
      <w:proofErr w:type="spellEnd"/>
      <w:r w:rsidRPr="006F226C">
        <w:rPr>
          <w:rFonts w:cs="Arial"/>
          <w:color w:val="000000" w:themeColor="text1"/>
          <w:szCs w:val="18"/>
        </w:rPr>
        <w:t xml:space="preserve"> Chem Eng, 81, 323-343.</w:t>
      </w:r>
    </w:p>
    <w:p w14:paraId="2B30886F" w14:textId="77777777" w:rsidR="005E23A5" w:rsidRPr="006F226C" w:rsidRDefault="005E23A5" w:rsidP="00063C09">
      <w:pPr>
        <w:pStyle w:val="CETReferencetext"/>
        <w:rPr>
          <w:rFonts w:cs="Arial"/>
          <w:color w:val="000000" w:themeColor="text1"/>
          <w:szCs w:val="18"/>
        </w:rPr>
      </w:pPr>
      <w:r w:rsidRPr="006F226C">
        <w:rPr>
          <w:rFonts w:cs="Arial"/>
          <w:color w:val="000000" w:themeColor="text1"/>
          <w:szCs w:val="18"/>
        </w:rPr>
        <w:t xml:space="preserve">Freitas ACD, Guirardello R. 2013. Thermodynamic Analysis of Supercritical Water Gasification of Microalgae Biomass for Hydrogen and Syngas Production, Chemical Engineering Transactions, v. 32, p. 553-558. </w:t>
      </w:r>
    </w:p>
    <w:p w14:paraId="7FEEC2AB" w14:textId="77777777" w:rsidR="005E23A5" w:rsidRPr="006F226C" w:rsidRDefault="005E23A5" w:rsidP="00063C09">
      <w:pPr>
        <w:pStyle w:val="CETReferencetext"/>
        <w:rPr>
          <w:rFonts w:cs="Arial"/>
          <w:color w:val="000000" w:themeColor="text1"/>
          <w:szCs w:val="18"/>
        </w:rPr>
      </w:pPr>
      <w:r w:rsidRPr="006F226C">
        <w:rPr>
          <w:rFonts w:cs="Arial"/>
          <w:color w:val="000000" w:themeColor="text1"/>
          <w:szCs w:val="18"/>
          <w:lang w:val="pt-BR"/>
        </w:rPr>
        <w:t xml:space="preserve">Gomes JG, Mitoura J, Guirardello R. 2022. </w:t>
      </w:r>
      <w:r w:rsidRPr="006F226C">
        <w:rPr>
          <w:rFonts w:cs="Arial"/>
          <w:color w:val="000000" w:themeColor="text1"/>
          <w:szCs w:val="18"/>
        </w:rPr>
        <w:t>Thermodynamic analysis for hydrogen production from the reaction of subcritical and supercritical gasification of the C. Vulgaris microalgae. Energy, 260, 125030.</w:t>
      </w:r>
    </w:p>
    <w:p w14:paraId="05AF0ABE" w14:textId="77777777" w:rsidR="006F226C" w:rsidRPr="006F226C" w:rsidRDefault="006F226C" w:rsidP="00063C09">
      <w:pPr>
        <w:pStyle w:val="CETReferencetext"/>
        <w:rPr>
          <w:rFonts w:cs="Arial"/>
          <w:color w:val="000000" w:themeColor="text1"/>
          <w:szCs w:val="18"/>
        </w:rPr>
      </w:pPr>
      <w:r w:rsidRPr="006F226C">
        <w:rPr>
          <w:rFonts w:cs="Arial"/>
          <w:color w:val="000000" w:themeColor="text1"/>
          <w:szCs w:val="18"/>
          <w:shd w:val="clear" w:color="auto" w:fill="FFFFFF"/>
        </w:rPr>
        <w:t>Galvao Gomes J., Mitoura dos Santos Junior J., Doria Souza Vidotti A., Daltro de Freitas A.C., Guirardello R., 2022, Analysis of Hydrogen Production from Glycerol Gasification Using Supercritical and Subcritical Water., Chemical Engineering Transactions, 92, 133-138.</w:t>
      </w:r>
    </w:p>
    <w:p w14:paraId="273BCECD" w14:textId="77777777" w:rsidR="005E23A5" w:rsidRPr="006F226C" w:rsidRDefault="005E23A5" w:rsidP="00063C09">
      <w:pPr>
        <w:pStyle w:val="CETReferencetext"/>
        <w:rPr>
          <w:rFonts w:cs="Arial"/>
          <w:color w:val="000000" w:themeColor="text1"/>
          <w:szCs w:val="18"/>
        </w:rPr>
      </w:pPr>
      <w:r w:rsidRPr="00244D94">
        <w:rPr>
          <w:rFonts w:cs="Arial"/>
          <w:color w:val="000000" w:themeColor="text1"/>
          <w:szCs w:val="18"/>
          <w:lang w:val="it-IT"/>
        </w:rPr>
        <w:t xml:space="preserve">Hantoko D, Yan M, Prabowo B, Susanto H, Li X, Chen C. 2019. </w:t>
      </w:r>
      <w:r w:rsidRPr="006F226C">
        <w:rPr>
          <w:rFonts w:cs="Arial"/>
          <w:color w:val="000000" w:themeColor="text1"/>
          <w:szCs w:val="18"/>
        </w:rPr>
        <w:t xml:space="preserve">Aspen Plus </w:t>
      </w:r>
      <w:proofErr w:type="spellStart"/>
      <w:r w:rsidRPr="006F226C">
        <w:rPr>
          <w:rFonts w:cs="Arial"/>
          <w:color w:val="000000" w:themeColor="text1"/>
          <w:szCs w:val="18"/>
        </w:rPr>
        <w:t>Modeling</w:t>
      </w:r>
      <w:proofErr w:type="spellEnd"/>
      <w:r w:rsidRPr="006F226C">
        <w:rPr>
          <w:rFonts w:cs="Arial"/>
          <w:color w:val="000000" w:themeColor="text1"/>
          <w:szCs w:val="18"/>
        </w:rPr>
        <w:t xml:space="preserve"> Approach in Solid Waste Gasification. Current Developments in Biotechnology and Bioengineering, Elsevier, p. 259–281.</w:t>
      </w:r>
    </w:p>
    <w:p w14:paraId="3C7955A8" w14:textId="77777777" w:rsidR="005E23A5" w:rsidRPr="006F226C" w:rsidRDefault="005E23A5" w:rsidP="00063C09">
      <w:pPr>
        <w:pStyle w:val="CETReferencetext"/>
        <w:rPr>
          <w:rFonts w:cs="Arial"/>
          <w:color w:val="000000" w:themeColor="text1"/>
          <w:szCs w:val="18"/>
        </w:rPr>
      </w:pPr>
      <w:r w:rsidRPr="006F226C">
        <w:rPr>
          <w:rFonts w:cs="Arial"/>
          <w:color w:val="000000" w:themeColor="text1"/>
          <w:szCs w:val="18"/>
          <w:lang w:val="en-US"/>
        </w:rPr>
        <w:t xml:space="preserve">Jin H, Guo L, Guo J, Ge Z, Cao C, Lu Y. 2015. </w:t>
      </w:r>
      <w:r w:rsidRPr="006F226C">
        <w:rPr>
          <w:rFonts w:cs="Arial"/>
          <w:color w:val="000000" w:themeColor="text1"/>
          <w:szCs w:val="18"/>
        </w:rPr>
        <w:t xml:space="preserve">Study on gasification kinetics of hydrogen production from lignite in supercritical water. Int J Hydrogen Energy, 40, 7523–7529 </w:t>
      </w:r>
    </w:p>
    <w:p w14:paraId="15D7D6F0" w14:textId="77777777" w:rsidR="005E23A5" w:rsidRPr="006F226C" w:rsidRDefault="005E23A5" w:rsidP="00CC108A">
      <w:pPr>
        <w:pStyle w:val="CETReferencetext"/>
        <w:rPr>
          <w:rFonts w:cs="Arial"/>
          <w:color w:val="000000" w:themeColor="text1"/>
          <w:szCs w:val="18"/>
          <w:lang w:val="en-US"/>
        </w:rPr>
      </w:pPr>
      <w:r w:rsidRPr="006F226C">
        <w:rPr>
          <w:rFonts w:cs="Arial"/>
          <w:color w:val="000000" w:themeColor="text1"/>
          <w:szCs w:val="18"/>
        </w:rPr>
        <w:t xml:space="preserve">Karaca, Ali </w:t>
      </w:r>
      <w:proofErr w:type="gramStart"/>
      <w:r w:rsidRPr="006F226C">
        <w:rPr>
          <w:rFonts w:cs="Arial"/>
          <w:color w:val="000000" w:themeColor="text1"/>
          <w:szCs w:val="18"/>
        </w:rPr>
        <w:t>Erdogan  Ali</w:t>
      </w:r>
      <w:proofErr w:type="gramEnd"/>
      <w:r w:rsidRPr="006F226C">
        <w:rPr>
          <w:rFonts w:cs="Arial"/>
          <w:color w:val="000000" w:themeColor="text1"/>
          <w:szCs w:val="18"/>
        </w:rPr>
        <w:t xml:space="preserve"> M.M.I. </w:t>
      </w:r>
      <w:proofErr w:type="spellStart"/>
      <w:r w:rsidRPr="006F226C">
        <w:rPr>
          <w:rFonts w:cs="Arial"/>
          <w:color w:val="000000" w:themeColor="text1"/>
          <w:szCs w:val="18"/>
        </w:rPr>
        <w:t>Qureshy</w:t>
      </w:r>
      <w:proofErr w:type="spellEnd"/>
      <w:r w:rsidRPr="006F226C">
        <w:rPr>
          <w:rFonts w:cs="Arial"/>
          <w:color w:val="000000" w:themeColor="text1"/>
          <w:szCs w:val="18"/>
        </w:rPr>
        <w:t>, Ibrahim Dincer</w:t>
      </w:r>
      <w:r w:rsidR="003339C7" w:rsidRPr="006F226C">
        <w:rPr>
          <w:rFonts w:cs="Arial"/>
          <w:color w:val="000000" w:themeColor="text1"/>
          <w:szCs w:val="18"/>
        </w:rPr>
        <w:t xml:space="preserve">. </w:t>
      </w:r>
      <w:r w:rsidR="003339C7" w:rsidRPr="006F226C">
        <w:rPr>
          <w:rFonts w:cs="Arial"/>
          <w:color w:val="000000" w:themeColor="text1"/>
          <w:szCs w:val="18"/>
          <w:lang w:val="en-US"/>
        </w:rPr>
        <w:t xml:space="preserve">2023. </w:t>
      </w:r>
      <w:r w:rsidRPr="006F226C">
        <w:rPr>
          <w:rFonts w:cs="Arial"/>
          <w:color w:val="000000" w:themeColor="text1"/>
          <w:szCs w:val="18"/>
        </w:rPr>
        <w:t>An overview and critical assessment of thermochemical hydrogen production methods,</w:t>
      </w:r>
      <w:r w:rsidRPr="006F226C">
        <w:rPr>
          <w:rFonts w:cs="Arial"/>
          <w:color w:val="000000" w:themeColor="text1"/>
          <w:szCs w:val="18"/>
          <w:lang w:val="en-US"/>
        </w:rPr>
        <w:t xml:space="preserve"> </w:t>
      </w:r>
      <w:r w:rsidRPr="006F226C">
        <w:rPr>
          <w:rFonts w:cs="Arial"/>
          <w:color w:val="000000" w:themeColor="text1"/>
          <w:szCs w:val="18"/>
        </w:rPr>
        <w:t>Journal of Cleaner Production,</w:t>
      </w:r>
      <w:r w:rsidRPr="006F226C">
        <w:rPr>
          <w:rFonts w:cs="Arial"/>
          <w:color w:val="000000" w:themeColor="text1"/>
          <w:szCs w:val="18"/>
          <w:lang w:val="en-US"/>
        </w:rPr>
        <w:t xml:space="preserve"> </w:t>
      </w:r>
      <w:r w:rsidRPr="006F226C">
        <w:rPr>
          <w:rFonts w:cs="Arial"/>
          <w:color w:val="000000" w:themeColor="text1"/>
          <w:szCs w:val="18"/>
        </w:rPr>
        <w:t>V. 385, 135706.</w:t>
      </w:r>
    </w:p>
    <w:p w14:paraId="145D84EA" w14:textId="77777777" w:rsidR="005E23A5" w:rsidRPr="006F226C" w:rsidRDefault="005E23A5" w:rsidP="002D0594">
      <w:pPr>
        <w:pStyle w:val="CETReferencetext"/>
        <w:rPr>
          <w:rFonts w:cs="Arial"/>
          <w:color w:val="000000" w:themeColor="text1"/>
          <w:szCs w:val="18"/>
          <w:lang w:val="en-US"/>
        </w:rPr>
      </w:pPr>
      <w:r w:rsidRPr="006F226C">
        <w:rPr>
          <w:rFonts w:cs="Arial"/>
          <w:color w:val="000000" w:themeColor="text1"/>
          <w:szCs w:val="18"/>
          <w:lang w:val="en-US"/>
        </w:rPr>
        <w:t xml:space="preserve">Poling, B.E.; </w:t>
      </w:r>
      <w:proofErr w:type="spellStart"/>
      <w:r w:rsidRPr="006F226C">
        <w:rPr>
          <w:rFonts w:cs="Arial"/>
          <w:color w:val="000000" w:themeColor="text1"/>
          <w:szCs w:val="18"/>
          <w:lang w:val="en-US"/>
        </w:rPr>
        <w:t>Prausnitz</w:t>
      </w:r>
      <w:proofErr w:type="spellEnd"/>
      <w:r w:rsidRPr="006F226C">
        <w:rPr>
          <w:rFonts w:cs="Arial"/>
          <w:color w:val="000000" w:themeColor="text1"/>
          <w:szCs w:val="18"/>
          <w:lang w:val="en-US"/>
        </w:rPr>
        <w:t xml:space="preserve">, J.M.; </w:t>
      </w:r>
      <w:proofErr w:type="spellStart"/>
      <w:r w:rsidRPr="006F226C">
        <w:rPr>
          <w:rFonts w:cs="Arial"/>
          <w:color w:val="000000" w:themeColor="text1"/>
          <w:szCs w:val="18"/>
          <w:lang w:val="en-US"/>
        </w:rPr>
        <w:t>O’connell</w:t>
      </w:r>
      <w:proofErr w:type="spellEnd"/>
      <w:r w:rsidRPr="006F226C">
        <w:rPr>
          <w:rFonts w:cs="Arial"/>
          <w:color w:val="000000" w:themeColor="text1"/>
          <w:szCs w:val="18"/>
          <w:lang w:val="en-US"/>
        </w:rPr>
        <w:t>, J.P.</w:t>
      </w:r>
      <w:r w:rsidR="003339C7" w:rsidRPr="006F226C">
        <w:rPr>
          <w:rFonts w:cs="Arial"/>
          <w:color w:val="000000" w:themeColor="text1"/>
          <w:szCs w:val="18"/>
          <w:lang w:val="en-US"/>
        </w:rPr>
        <w:t xml:space="preserve"> 2001.</w:t>
      </w:r>
      <w:r w:rsidRPr="006F226C">
        <w:rPr>
          <w:rFonts w:cs="Arial"/>
          <w:color w:val="000000" w:themeColor="text1"/>
          <w:szCs w:val="18"/>
          <w:lang w:val="en-US"/>
        </w:rPr>
        <w:t xml:space="preserve"> Properties of Gases and Liquids; McGraw-Hill Education: New York, NY, USA. </w:t>
      </w:r>
    </w:p>
    <w:p w14:paraId="62C0C2AC" w14:textId="77777777" w:rsidR="006F226C" w:rsidRPr="006F226C" w:rsidRDefault="006F226C" w:rsidP="002D0594">
      <w:pPr>
        <w:pStyle w:val="CETReferencetext"/>
        <w:rPr>
          <w:rFonts w:cs="Arial"/>
          <w:color w:val="000000" w:themeColor="text1"/>
          <w:szCs w:val="18"/>
          <w:lang w:val="en-US"/>
        </w:rPr>
      </w:pPr>
      <w:r w:rsidRPr="006F226C">
        <w:rPr>
          <w:rFonts w:cs="Arial"/>
          <w:color w:val="000000" w:themeColor="text1"/>
          <w:szCs w:val="18"/>
          <w:shd w:val="clear" w:color="auto" w:fill="FFFFFF"/>
        </w:rPr>
        <w:t>Santos Jr. J.M., De Souza G.F.B., Vidotti A.D.S., De Freitas A.C.D., Guirardello R., 2021, Optimization of Glycerol Gasification Process in Supercritical Water Using Thermodynamic Approach, Chemical Engineering Transactions, 86, 847-852.</w:t>
      </w:r>
    </w:p>
    <w:p w14:paraId="17F92D22" w14:textId="77777777" w:rsidR="005E23A5" w:rsidRPr="006F226C" w:rsidRDefault="005E23A5" w:rsidP="00063C09">
      <w:pPr>
        <w:pStyle w:val="CETReferencetext"/>
        <w:rPr>
          <w:rFonts w:cs="Arial"/>
          <w:color w:val="000000" w:themeColor="text1"/>
          <w:szCs w:val="18"/>
        </w:rPr>
      </w:pPr>
      <w:r w:rsidRPr="00244D94">
        <w:rPr>
          <w:rFonts w:cs="Arial"/>
          <w:color w:val="000000" w:themeColor="text1"/>
          <w:szCs w:val="18"/>
          <w:lang w:val="it-IT"/>
        </w:rPr>
        <w:t xml:space="preserve">Yan Q, Guo L, Lu Y. </w:t>
      </w:r>
      <w:r w:rsidR="003339C7" w:rsidRPr="00244D94">
        <w:rPr>
          <w:rFonts w:cs="Arial"/>
          <w:color w:val="000000" w:themeColor="text1"/>
          <w:szCs w:val="18"/>
          <w:lang w:val="it-IT"/>
        </w:rPr>
        <w:t xml:space="preserve">2006. </w:t>
      </w:r>
      <w:r w:rsidRPr="006F226C">
        <w:rPr>
          <w:rFonts w:cs="Arial"/>
          <w:color w:val="000000" w:themeColor="text1"/>
          <w:szCs w:val="18"/>
        </w:rPr>
        <w:t xml:space="preserve">Thermodynamic analysis of hydrogen production from biomass gasification in supercritical water. </w:t>
      </w:r>
      <w:r w:rsidRPr="006F226C">
        <w:rPr>
          <w:rFonts w:cs="Arial"/>
          <w:color w:val="000000" w:themeColor="text1"/>
          <w:szCs w:val="18"/>
          <w:lang w:val="en-US"/>
        </w:rPr>
        <w:t>Energy Convers Manag;</w:t>
      </w:r>
      <w:r w:rsidR="003339C7" w:rsidRPr="006F226C">
        <w:rPr>
          <w:rFonts w:cs="Arial"/>
          <w:color w:val="000000" w:themeColor="text1"/>
          <w:szCs w:val="18"/>
          <w:lang w:val="en-US"/>
        </w:rPr>
        <w:t xml:space="preserve"> </w:t>
      </w:r>
      <w:r w:rsidRPr="006F226C">
        <w:rPr>
          <w:rFonts w:cs="Arial"/>
          <w:color w:val="000000" w:themeColor="text1"/>
          <w:szCs w:val="18"/>
          <w:lang w:val="en-US"/>
        </w:rPr>
        <w:t>47:1515–28.</w:t>
      </w:r>
    </w:p>
    <w:p w14:paraId="4D45335D" w14:textId="77777777" w:rsidR="005E23A5" w:rsidRPr="006F226C" w:rsidRDefault="005E23A5" w:rsidP="00063C09">
      <w:pPr>
        <w:pStyle w:val="CETReferencetext"/>
        <w:ind w:left="0" w:firstLine="0"/>
        <w:rPr>
          <w:rFonts w:cs="Arial"/>
          <w:color w:val="000000" w:themeColor="text1"/>
          <w:szCs w:val="18"/>
        </w:rPr>
      </w:pPr>
      <w:proofErr w:type="spellStart"/>
      <w:r w:rsidRPr="006F226C">
        <w:rPr>
          <w:rFonts w:cs="Arial"/>
          <w:color w:val="000000" w:themeColor="text1"/>
          <w:szCs w:val="18"/>
        </w:rPr>
        <w:t>Züttel</w:t>
      </w:r>
      <w:proofErr w:type="spellEnd"/>
      <w:r w:rsidRPr="006F226C">
        <w:rPr>
          <w:rFonts w:cs="Arial"/>
          <w:color w:val="000000" w:themeColor="text1"/>
          <w:szCs w:val="18"/>
        </w:rPr>
        <w:t xml:space="preserve"> A.</w:t>
      </w:r>
      <w:r w:rsidR="003339C7" w:rsidRPr="006F226C">
        <w:rPr>
          <w:rFonts w:cs="Arial"/>
          <w:color w:val="000000" w:themeColor="text1"/>
          <w:szCs w:val="18"/>
        </w:rPr>
        <w:t xml:space="preserve"> 2004.</w:t>
      </w:r>
      <w:r w:rsidRPr="006F226C">
        <w:rPr>
          <w:rFonts w:cs="Arial"/>
          <w:color w:val="000000" w:themeColor="text1"/>
          <w:szCs w:val="18"/>
        </w:rPr>
        <w:t xml:space="preserve"> Hydrogen storage methods. </w:t>
      </w:r>
      <w:proofErr w:type="gramStart"/>
      <w:r w:rsidRPr="006F226C">
        <w:rPr>
          <w:rFonts w:cs="Arial"/>
          <w:color w:val="000000" w:themeColor="text1"/>
          <w:szCs w:val="18"/>
        </w:rPr>
        <w:t>Naturwissenschaften;91:157</w:t>
      </w:r>
      <w:proofErr w:type="gramEnd"/>
      <w:r w:rsidRPr="006F226C">
        <w:rPr>
          <w:rFonts w:cs="Arial"/>
          <w:color w:val="000000" w:themeColor="text1"/>
          <w:szCs w:val="18"/>
        </w:rPr>
        <w:t>–72.</w:t>
      </w:r>
    </w:p>
    <w:sectPr w:rsidR="005E23A5" w:rsidRPr="006F226C" w:rsidSect="00A77DDC">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C6131" w14:textId="77777777" w:rsidR="00C7360B" w:rsidRDefault="00C7360B" w:rsidP="004F5E36">
      <w:r>
        <w:separator/>
      </w:r>
    </w:p>
  </w:endnote>
  <w:endnote w:type="continuationSeparator" w:id="0">
    <w:p w14:paraId="29F62557" w14:textId="77777777" w:rsidR="00C7360B" w:rsidRDefault="00C7360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45B24" w14:textId="77777777" w:rsidR="00C7360B" w:rsidRDefault="00C7360B" w:rsidP="004F5E36">
      <w:r>
        <w:separator/>
      </w:r>
    </w:p>
  </w:footnote>
  <w:footnote w:type="continuationSeparator" w:id="0">
    <w:p w14:paraId="005F7A2D" w14:textId="77777777" w:rsidR="00C7360B" w:rsidRDefault="00C7360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2080943">
    <w:abstractNumId w:val="10"/>
  </w:num>
  <w:num w:numId="2" w16cid:durableId="134176616">
    <w:abstractNumId w:val="8"/>
  </w:num>
  <w:num w:numId="3" w16cid:durableId="1976595942">
    <w:abstractNumId w:val="3"/>
  </w:num>
  <w:num w:numId="4" w16cid:durableId="1429695575">
    <w:abstractNumId w:val="2"/>
  </w:num>
  <w:num w:numId="5" w16cid:durableId="175506789">
    <w:abstractNumId w:val="1"/>
  </w:num>
  <w:num w:numId="6" w16cid:durableId="576327840">
    <w:abstractNumId w:val="0"/>
  </w:num>
  <w:num w:numId="7" w16cid:durableId="810905272">
    <w:abstractNumId w:val="9"/>
  </w:num>
  <w:num w:numId="8" w16cid:durableId="1288002766">
    <w:abstractNumId w:val="7"/>
  </w:num>
  <w:num w:numId="9" w16cid:durableId="1176265915">
    <w:abstractNumId w:val="6"/>
  </w:num>
  <w:num w:numId="10" w16cid:durableId="251163765">
    <w:abstractNumId w:val="5"/>
  </w:num>
  <w:num w:numId="11" w16cid:durableId="1447041919">
    <w:abstractNumId w:val="4"/>
  </w:num>
  <w:num w:numId="12" w16cid:durableId="580020258">
    <w:abstractNumId w:val="17"/>
  </w:num>
  <w:num w:numId="13" w16cid:durableId="814488799">
    <w:abstractNumId w:val="12"/>
  </w:num>
  <w:num w:numId="14" w16cid:durableId="2073654500">
    <w:abstractNumId w:val="18"/>
  </w:num>
  <w:num w:numId="15" w16cid:durableId="2109497089">
    <w:abstractNumId w:val="20"/>
  </w:num>
  <w:num w:numId="16" w16cid:durableId="140117907">
    <w:abstractNumId w:val="19"/>
  </w:num>
  <w:num w:numId="17" w16cid:durableId="474222285">
    <w:abstractNumId w:val="11"/>
  </w:num>
  <w:num w:numId="18" w16cid:durableId="597909081">
    <w:abstractNumId w:val="12"/>
    <w:lvlOverride w:ilvl="0">
      <w:startOverride w:val="1"/>
    </w:lvlOverride>
  </w:num>
  <w:num w:numId="19" w16cid:durableId="60178048">
    <w:abstractNumId w:val="16"/>
  </w:num>
  <w:num w:numId="20" w16cid:durableId="2138135516">
    <w:abstractNumId w:val="15"/>
  </w:num>
  <w:num w:numId="21" w16cid:durableId="2018077068">
    <w:abstractNumId w:val="14"/>
  </w:num>
  <w:num w:numId="22" w16cid:durableId="20399610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35704"/>
    <w:rsid w:val="00037A18"/>
    <w:rsid w:val="00051566"/>
    <w:rsid w:val="0005550F"/>
    <w:rsid w:val="000562A9"/>
    <w:rsid w:val="00062A9A"/>
    <w:rsid w:val="00063C09"/>
    <w:rsid w:val="00065058"/>
    <w:rsid w:val="00080EC9"/>
    <w:rsid w:val="00086C39"/>
    <w:rsid w:val="00086F7C"/>
    <w:rsid w:val="00093B95"/>
    <w:rsid w:val="000A03B2"/>
    <w:rsid w:val="000C4B29"/>
    <w:rsid w:val="000D0268"/>
    <w:rsid w:val="000D34BE"/>
    <w:rsid w:val="000E102F"/>
    <w:rsid w:val="000E36F1"/>
    <w:rsid w:val="000E3A73"/>
    <w:rsid w:val="000E414A"/>
    <w:rsid w:val="000F093C"/>
    <w:rsid w:val="000F787B"/>
    <w:rsid w:val="001075DD"/>
    <w:rsid w:val="00116C05"/>
    <w:rsid w:val="0012091F"/>
    <w:rsid w:val="00126BC2"/>
    <w:rsid w:val="001308B6"/>
    <w:rsid w:val="0013121F"/>
    <w:rsid w:val="00131FE6"/>
    <w:rsid w:val="0013263F"/>
    <w:rsid w:val="001331DF"/>
    <w:rsid w:val="00134DE4"/>
    <w:rsid w:val="0014034D"/>
    <w:rsid w:val="00144D16"/>
    <w:rsid w:val="00150E59"/>
    <w:rsid w:val="00152DE3"/>
    <w:rsid w:val="00153D01"/>
    <w:rsid w:val="00156F74"/>
    <w:rsid w:val="0016490B"/>
    <w:rsid w:val="00164CF9"/>
    <w:rsid w:val="001667A6"/>
    <w:rsid w:val="0017106E"/>
    <w:rsid w:val="00173AAE"/>
    <w:rsid w:val="00184AD6"/>
    <w:rsid w:val="00184BB7"/>
    <w:rsid w:val="001A4AF7"/>
    <w:rsid w:val="001A6354"/>
    <w:rsid w:val="001B0349"/>
    <w:rsid w:val="001B1E93"/>
    <w:rsid w:val="001B65C1"/>
    <w:rsid w:val="001C4392"/>
    <w:rsid w:val="001C684B"/>
    <w:rsid w:val="001D0CFB"/>
    <w:rsid w:val="001D21AF"/>
    <w:rsid w:val="001D53FC"/>
    <w:rsid w:val="001F42A5"/>
    <w:rsid w:val="001F7B9D"/>
    <w:rsid w:val="00201C93"/>
    <w:rsid w:val="00206228"/>
    <w:rsid w:val="002209D2"/>
    <w:rsid w:val="00222216"/>
    <w:rsid w:val="002224B4"/>
    <w:rsid w:val="002440F1"/>
    <w:rsid w:val="002447EF"/>
    <w:rsid w:val="00244D94"/>
    <w:rsid w:val="00251550"/>
    <w:rsid w:val="00257A6F"/>
    <w:rsid w:val="00263B05"/>
    <w:rsid w:val="00266E23"/>
    <w:rsid w:val="0027221A"/>
    <w:rsid w:val="00275B61"/>
    <w:rsid w:val="00280FAF"/>
    <w:rsid w:val="00282656"/>
    <w:rsid w:val="00296B83"/>
    <w:rsid w:val="002B4015"/>
    <w:rsid w:val="002B78CE"/>
    <w:rsid w:val="002C2FB6"/>
    <w:rsid w:val="002D0594"/>
    <w:rsid w:val="002E5FA7"/>
    <w:rsid w:val="002F3309"/>
    <w:rsid w:val="002F6455"/>
    <w:rsid w:val="003008CE"/>
    <w:rsid w:val="003009B7"/>
    <w:rsid w:val="00300E56"/>
    <w:rsid w:val="0030152C"/>
    <w:rsid w:val="0030469C"/>
    <w:rsid w:val="00321CA6"/>
    <w:rsid w:val="00323763"/>
    <w:rsid w:val="00323C5F"/>
    <w:rsid w:val="003339C7"/>
    <w:rsid w:val="00334C09"/>
    <w:rsid w:val="00367F47"/>
    <w:rsid w:val="003723D4"/>
    <w:rsid w:val="003804C9"/>
    <w:rsid w:val="00381905"/>
    <w:rsid w:val="00384CC8"/>
    <w:rsid w:val="003871FD"/>
    <w:rsid w:val="003A1E30"/>
    <w:rsid w:val="003A2829"/>
    <w:rsid w:val="003A6FC6"/>
    <w:rsid w:val="003A7D1C"/>
    <w:rsid w:val="003B304B"/>
    <w:rsid w:val="003B3146"/>
    <w:rsid w:val="003B7BA9"/>
    <w:rsid w:val="003D1702"/>
    <w:rsid w:val="003D1747"/>
    <w:rsid w:val="003E27D5"/>
    <w:rsid w:val="003F015E"/>
    <w:rsid w:val="00400414"/>
    <w:rsid w:val="0040089F"/>
    <w:rsid w:val="0041446B"/>
    <w:rsid w:val="0044071E"/>
    <w:rsid w:val="0044329C"/>
    <w:rsid w:val="00453E24"/>
    <w:rsid w:val="00457456"/>
    <w:rsid w:val="004577FE"/>
    <w:rsid w:val="00457B9C"/>
    <w:rsid w:val="0046164A"/>
    <w:rsid w:val="004628D2"/>
    <w:rsid w:val="00462DCD"/>
    <w:rsid w:val="004648AD"/>
    <w:rsid w:val="004703A9"/>
    <w:rsid w:val="004760DE"/>
    <w:rsid w:val="004761E9"/>
    <w:rsid w:val="004763D7"/>
    <w:rsid w:val="004A004E"/>
    <w:rsid w:val="004A24CF"/>
    <w:rsid w:val="004C3D1D"/>
    <w:rsid w:val="004C3D84"/>
    <w:rsid w:val="004C7913"/>
    <w:rsid w:val="004E4DD6"/>
    <w:rsid w:val="004E7114"/>
    <w:rsid w:val="004F11AA"/>
    <w:rsid w:val="004F5E36"/>
    <w:rsid w:val="00507B47"/>
    <w:rsid w:val="00507BEF"/>
    <w:rsid w:val="00507CC9"/>
    <w:rsid w:val="005119A5"/>
    <w:rsid w:val="0051328F"/>
    <w:rsid w:val="00513A19"/>
    <w:rsid w:val="00516AAC"/>
    <w:rsid w:val="005213E5"/>
    <w:rsid w:val="00526070"/>
    <w:rsid w:val="005278B7"/>
    <w:rsid w:val="00532016"/>
    <w:rsid w:val="005346C8"/>
    <w:rsid w:val="00542D00"/>
    <w:rsid w:val="00543E7D"/>
    <w:rsid w:val="00547A68"/>
    <w:rsid w:val="005531C9"/>
    <w:rsid w:val="005645A5"/>
    <w:rsid w:val="00570C43"/>
    <w:rsid w:val="005768E0"/>
    <w:rsid w:val="005934B8"/>
    <w:rsid w:val="005B2110"/>
    <w:rsid w:val="005B5A29"/>
    <w:rsid w:val="005B61E6"/>
    <w:rsid w:val="005C77E1"/>
    <w:rsid w:val="005D0881"/>
    <w:rsid w:val="005D668A"/>
    <w:rsid w:val="005D6A2F"/>
    <w:rsid w:val="005E1A82"/>
    <w:rsid w:val="005E23A5"/>
    <w:rsid w:val="005E794C"/>
    <w:rsid w:val="005F0A28"/>
    <w:rsid w:val="005F0E5E"/>
    <w:rsid w:val="00600535"/>
    <w:rsid w:val="006047B9"/>
    <w:rsid w:val="00610CD6"/>
    <w:rsid w:val="00611023"/>
    <w:rsid w:val="006153E5"/>
    <w:rsid w:val="00620DEE"/>
    <w:rsid w:val="00621F92"/>
    <w:rsid w:val="0062280A"/>
    <w:rsid w:val="00625639"/>
    <w:rsid w:val="00631B33"/>
    <w:rsid w:val="0064184D"/>
    <w:rsid w:val="006422CC"/>
    <w:rsid w:val="00660E3E"/>
    <w:rsid w:val="00662E74"/>
    <w:rsid w:val="00680C23"/>
    <w:rsid w:val="00693766"/>
    <w:rsid w:val="006A23E9"/>
    <w:rsid w:val="006A3281"/>
    <w:rsid w:val="006B4083"/>
    <w:rsid w:val="006B4888"/>
    <w:rsid w:val="006C2E45"/>
    <w:rsid w:val="006C359C"/>
    <w:rsid w:val="006C5579"/>
    <w:rsid w:val="006D6E8B"/>
    <w:rsid w:val="006E2C02"/>
    <w:rsid w:val="006E3584"/>
    <w:rsid w:val="006E737D"/>
    <w:rsid w:val="006F226C"/>
    <w:rsid w:val="00701B1C"/>
    <w:rsid w:val="00702FDE"/>
    <w:rsid w:val="00704432"/>
    <w:rsid w:val="00713973"/>
    <w:rsid w:val="00720A24"/>
    <w:rsid w:val="00732386"/>
    <w:rsid w:val="0073514D"/>
    <w:rsid w:val="007447F3"/>
    <w:rsid w:val="0075499F"/>
    <w:rsid w:val="0076270D"/>
    <w:rsid w:val="007661C8"/>
    <w:rsid w:val="00766C61"/>
    <w:rsid w:val="0077098D"/>
    <w:rsid w:val="00777341"/>
    <w:rsid w:val="0078576D"/>
    <w:rsid w:val="007931FA"/>
    <w:rsid w:val="00797C5E"/>
    <w:rsid w:val="007A4861"/>
    <w:rsid w:val="007A7A8F"/>
    <w:rsid w:val="007A7BBA"/>
    <w:rsid w:val="007B0C50"/>
    <w:rsid w:val="007B48F9"/>
    <w:rsid w:val="007C1A43"/>
    <w:rsid w:val="007D0951"/>
    <w:rsid w:val="0080013E"/>
    <w:rsid w:val="00802DBE"/>
    <w:rsid w:val="00813288"/>
    <w:rsid w:val="008168FC"/>
    <w:rsid w:val="00830996"/>
    <w:rsid w:val="008345F1"/>
    <w:rsid w:val="00843EAC"/>
    <w:rsid w:val="00865B07"/>
    <w:rsid w:val="008667EA"/>
    <w:rsid w:val="0087637F"/>
    <w:rsid w:val="00892AD5"/>
    <w:rsid w:val="008A1512"/>
    <w:rsid w:val="008B0B71"/>
    <w:rsid w:val="008B7C03"/>
    <w:rsid w:val="008D32B9"/>
    <w:rsid w:val="008D433B"/>
    <w:rsid w:val="008D4A16"/>
    <w:rsid w:val="008E566E"/>
    <w:rsid w:val="0090161A"/>
    <w:rsid w:val="00901EB6"/>
    <w:rsid w:val="00902EDA"/>
    <w:rsid w:val="00904C62"/>
    <w:rsid w:val="00915CE3"/>
    <w:rsid w:val="00922BA8"/>
    <w:rsid w:val="00924DAC"/>
    <w:rsid w:val="00927058"/>
    <w:rsid w:val="00942750"/>
    <w:rsid w:val="009450CE"/>
    <w:rsid w:val="009459BB"/>
    <w:rsid w:val="00947179"/>
    <w:rsid w:val="0095164B"/>
    <w:rsid w:val="00954090"/>
    <w:rsid w:val="009573E7"/>
    <w:rsid w:val="0096178A"/>
    <w:rsid w:val="00963E05"/>
    <w:rsid w:val="00964A45"/>
    <w:rsid w:val="00967843"/>
    <w:rsid w:val="00967D54"/>
    <w:rsid w:val="00971028"/>
    <w:rsid w:val="0098063B"/>
    <w:rsid w:val="00993B84"/>
    <w:rsid w:val="00996483"/>
    <w:rsid w:val="00996F5A"/>
    <w:rsid w:val="009B041A"/>
    <w:rsid w:val="009C37C3"/>
    <w:rsid w:val="009C7C86"/>
    <w:rsid w:val="009D2FF7"/>
    <w:rsid w:val="009E7884"/>
    <w:rsid w:val="009E788A"/>
    <w:rsid w:val="009F0E08"/>
    <w:rsid w:val="00A1763D"/>
    <w:rsid w:val="00A17CEC"/>
    <w:rsid w:val="00A27EF0"/>
    <w:rsid w:val="00A42361"/>
    <w:rsid w:val="00A50B20"/>
    <w:rsid w:val="00A51390"/>
    <w:rsid w:val="00A60D13"/>
    <w:rsid w:val="00A6583C"/>
    <w:rsid w:val="00A7223D"/>
    <w:rsid w:val="00A72745"/>
    <w:rsid w:val="00A76EFC"/>
    <w:rsid w:val="00A77DDC"/>
    <w:rsid w:val="00A87D50"/>
    <w:rsid w:val="00A9019D"/>
    <w:rsid w:val="00A91010"/>
    <w:rsid w:val="00A95C0D"/>
    <w:rsid w:val="00A97F29"/>
    <w:rsid w:val="00AA1C72"/>
    <w:rsid w:val="00AA702E"/>
    <w:rsid w:val="00AA7D26"/>
    <w:rsid w:val="00AB0964"/>
    <w:rsid w:val="00AB5011"/>
    <w:rsid w:val="00AC7368"/>
    <w:rsid w:val="00AD16B9"/>
    <w:rsid w:val="00AD6A4B"/>
    <w:rsid w:val="00AE377D"/>
    <w:rsid w:val="00AE4207"/>
    <w:rsid w:val="00AF0EBA"/>
    <w:rsid w:val="00AF6571"/>
    <w:rsid w:val="00B02765"/>
    <w:rsid w:val="00B02C8A"/>
    <w:rsid w:val="00B15EBF"/>
    <w:rsid w:val="00B17FBD"/>
    <w:rsid w:val="00B315A6"/>
    <w:rsid w:val="00B31813"/>
    <w:rsid w:val="00B31BD5"/>
    <w:rsid w:val="00B33365"/>
    <w:rsid w:val="00B37F6A"/>
    <w:rsid w:val="00B57B36"/>
    <w:rsid w:val="00B57E6F"/>
    <w:rsid w:val="00B629BD"/>
    <w:rsid w:val="00B74280"/>
    <w:rsid w:val="00B80222"/>
    <w:rsid w:val="00B8686D"/>
    <w:rsid w:val="00B874E5"/>
    <w:rsid w:val="00B87A10"/>
    <w:rsid w:val="00B93F69"/>
    <w:rsid w:val="00BB1DDC"/>
    <w:rsid w:val="00BC30C9"/>
    <w:rsid w:val="00BD077D"/>
    <w:rsid w:val="00BE3E58"/>
    <w:rsid w:val="00C01616"/>
    <w:rsid w:val="00C0162B"/>
    <w:rsid w:val="00C068ED"/>
    <w:rsid w:val="00C22E0C"/>
    <w:rsid w:val="00C345B1"/>
    <w:rsid w:val="00C40142"/>
    <w:rsid w:val="00C52C3C"/>
    <w:rsid w:val="00C534E9"/>
    <w:rsid w:val="00C57182"/>
    <w:rsid w:val="00C57863"/>
    <w:rsid w:val="00C640AF"/>
    <w:rsid w:val="00C655FD"/>
    <w:rsid w:val="00C71B5C"/>
    <w:rsid w:val="00C7360B"/>
    <w:rsid w:val="00C75407"/>
    <w:rsid w:val="00C870A8"/>
    <w:rsid w:val="00C94434"/>
    <w:rsid w:val="00CA0D4A"/>
    <w:rsid w:val="00CA0D75"/>
    <w:rsid w:val="00CA1C95"/>
    <w:rsid w:val="00CA5A9C"/>
    <w:rsid w:val="00CA738D"/>
    <w:rsid w:val="00CC108A"/>
    <w:rsid w:val="00CC36E4"/>
    <w:rsid w:val="00CC4C20"/>
    <w:rsid w:val="00CD3517"/>
    <w:rsid w:val="00CD5DE6"/>
    <w:rsid w:val="00CD5FE2"/>
    <w:rsid w:val="00CE7C68"/>
    <w:rsid w:val="00CF19E9"/>
    <w:rsid w:val="00D004E3"/>
    <w:rsid w:val="00D02B4C"/>
    <w:rsid w:val="00D040C4"/>
    <w:rsid w:val="00D20AD1"/>
    <w:rsid w:val="00D20B48"/>
    <w:rsid w:val="00D42145"/>
    <w:rsid w:val="00D46B7E"/>
    <w:rsid w:val="00D577FE"/>
    <w:rsid w:val="00D57C84"/>
    <w:rsid w:val="00D6057D"/>
    <w:rsid w:val="00D62C57"/>
    <w:rsid w:val="00D648EC"/>
    <w:rsid w:val="00D71640"/>
    <w:rsid w:val="00D836C5"/>
    <w:rsid w:val="00D84576"/>
    <w:rsid w:val="00DA1399"/>
    <w:rsid w:val="00DA24C6"/>
    <w:rsid w:val="00DA4D7B"/>
    <w:rsid w:val="00DA5B54"/>
    <w:rsid w:val="00DD271C"/>
    <w:rsid w:val="00DE04C9"/>
    <w:rsid w:val="00DE264A"/>
    <w:rsid w:val="00DF5072"/>
    <w:rsid w:val="00DF7970"/>
    <w:rsid w:val="00E02D18"/>
    <w:rsid w:val="00E041E7"/>
    <w:rsid w:val="00E11152"/>
    <w:rsid w:val="00E23CA1"/>
    <w:rsid w:val="00E26007"/>
    <w:rsid w:val="00E33DD7"/>
    <w:rsid w:val="00E409A8"/>
    <w:rsid w:val="00E50C12"/>
    <w:rsid w:val="00E62D9E"/>
    <w:rsid w:val="00E65B91"/>
    <w:rsid w:val="00E7209D"/>
    <w:rsid w:val="00E72EAD"/>
    <w:rsid w:val="00E77223"/>
    <w:rsid w:val="00E84336"/>
    <w:rsid w:val="00E8528B"/>
    <w:rsid w:val="00E85B94"/>
    <w:rsid w:val="00E978D0"/>
    <w:rsid w:val="00EA4613"/>
    <w:rsid w:val="00EA7F91"/>
    <w:rsid w:val="00EB1523"/>
    <w:rsid w:val="00EC0E49"/>
    <w:rsid w:val="00EC101F"/>
    <w:rsid w:val="00EC1D9F"/>
    <w:rsid w:val="00EC42F1"/>
    <w:rsid w:val="00EE0131"/>
    <w:rsid w:val="00EE145E"/>
    <w:rsid w:val="00EE17B0"/>
    <w:rsid w:val="00EE67F3"/>
    <w:rsid w:val="00EF06D9"/>
    <w:rsid w:val="00EF1CD2"/>
    <w:rsid w:val="00EF7CFA"/>
    <w:rsid w:val="00F044E0"/>
    <w:rsid w:val="00F126F0"/>
    <w:rsid w:val="00F26190"/>
    <w:rsid w:val="00F3049E"/>
    <w:rsid w:val="00F30C64"/>
    <w:rsid w:val="00F32BA2"/>
    <w:rsid w:val="00F32CDB"/>
    <w:rsid w:val="00F565FE"/>
    <w:rsid w:val="00F63A70"/>
    <w:rsid w:val="00F63D8C"/>
    <w:rsid w:val="00F7441D"/>
    <w:rsid w:val="00F7534E"/>
    <w:rsid w:val="00F8440D"/>
    <w:rsid w:val="00F93EDF"/>
    <w:rsid w:val="00FA1802"/>
    <w:rsid w:val="00FA21D0"/>
    <w:rsid w:val="00FA244F"/>
    <w:rsid w:val="00FA2B2B"/>
    <w:rsid w:val="00FA5F5F"/>
    <w:rsid w:val="00FB730C"/>
    <w:rsid w:val="00FC2695"/>
    <w:rsid w:val="00FC3E03"/>
    <w:rsid w:val="00FC3FC1"/>
    <w:rsid w:val="00FD36E5"/>
    <w:rsid w:val="00FD5631"/>
    <w:rsid w:val="00FE52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A0BFC5"/>
  <w15:docId w15:val="{342C38D1-26A5-4B46-B4C0-79996765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Testosegnaposto">
    <w:name w:val="Placeholder Text"/>
    <w:basedOn w:val="Carpredefinitoparagrafo"/>
    <w:uiPriority w:val="99"/>
    <w:semiHidden/>
    <w:rsid w:val="00173AAE"/>
    <w:rPr>
      <w:color w:val="666666"/>
    </w:rPr>
  </w:style>
  <w:style w:type="character" w:customStyle="1" w:styleId="MenoPendente1">
    <w:name w:val="Menção Pendente1"/>
    <w:basedOn w:val="Carpredefinitoparagrafo"/>
    <w:uiPriority w:val="99"/>
    <w:semiHidden/>
    <w:unhideWhenUsed/>
    <w:rsid w:val="00B802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6319986">
      <w:bodyDiv w:val="1"/>
      <w:marLeft w:val="0"/>
      <w:marRight w:val="0"/>
      <w:marTop w:val="0"/>
      <w:marBottom w:val="0"/>
      <w:divBdr>
        <w:top w:val="none" w:sz="0" w:space="0" w:color="auto"/>
        <w:left w:val="none" w:sz="0" w:space="0" w:color="auto"/>
        <w:bottom w:val="none" w:sz="0" w:space="0" w:color="auto"/>
        <w:right w:val="none" w:sz="0" w:space="0" w:color="auto"/>
      </w:divBdr>
    </w:div>
    <w:div w:id="43853249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222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ABC7F-8229-4F28-81EC-3A7049377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3154</Words>
  <Characters>17984</Characters>
  <Application>Microsoft Office Word</Application>
  <DocSecurity>0</DocSecurity>
  <Lines>149</Lines>
  <Paragraphs>42</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2</cp:revision>
  <cp:lastPrinted>2024-02-26T11:53:00Z</cp:lastPrinted>
  <dcterms:created xsi:type="dcterms:W3CDTF">2024-05-13T09:23:00Z</dcterms:created>
  <dcterms:modified xsi:type="dcterms:W3CDTF">2024-05-13T09:23:00Z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SIP_Label_2004fabd-8c59-4123-b113-9f53485cc1fa_Enabled">
    <vt:lpwstr>true</vt:lpwstr>
  </property>
  <property fmtid="{D5CDD505-2E9C-101B-9397-08002B2CF9AE}" pid="5" name="MSIP_Label_2004fabd-8c59-4123-b113-9f53485cc1fa_SetDate">
    <vt:lpwstr>2024-02-25T15:26:10Z</vt:lpwstr>
  </property>
  <property fmtid="{D5CDD505-2E9C-101B-9397-08002B2CF9AE}" pid="6" name="MSIP_Label_2004fabd-8c59-4123-b113-9f53485cc1fa_Method">
    <vt:lpwstr>Privileged</vt:lpwstr>
  </property>
  <property fmtid="{D5CDD505-2E9C-101B-9397-08002B2CF9AE}" pid="7" name="MSIP_Label_2004fabd-8c59-4123-b113-9f53485cc1fa_Name">
    <vt:lpwstr>Publico</vt:lpwstr>
  </property>
  <property fmtid="{D5CDD505-2E9C-101B-9397-08002B2CF9AE}" pid="8" name="MSIP_Label_2004fabd-8c59-4123-b113-9f53485cc1fa_SiteId">
    <vt:lpwstr>9339fb1c-0944-4fb9-808d-a278e53590e5</vt:lpwstr>
  </property>
  <property fmtid="{D5CDD505-2E9C-101B-9397-08002B2CF9AE}" pid="9" name="MSIP_Label_2004fabd-8c59-4123-b113-9f53485cc1fa_ActionId">
    <vt:lpwstr>c91c8881-6ae6-41d9-88a4-d7b051bc2ad0</vt:lpwstr>
  </property>
  <property fmtid="{D5CDD505-2E9C-101B-9397-08002B2CF9AE}" pid="10" name="MSIP_Label_2004fabd-8c59-4123-b113-9f53485cc1fa_ContentBits">
    <vt:lpwstr>0</vt:lpwstr>
  </property>
</Properties>
</file>